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6.5.0 -->
  <w:body>
    <w:p>
      <w:pPr>
        <w:sectPr>
          <w:headerReference w:type="default" r:id="rId5"/>
          <w:footerReference w:type="default" r:id="rId6"/>
          <w:footerReference w:type="first" r:id="rId7"/>
          <w:pgSz w:w="12240" w:h="15840"/>
          <w:pgMar w:top="840" w:right="1000" w:bottom="840" w:left="1000" w:header="400" w:footer="400"/>
          <w:pgNumType w:fmt="decimal"/>
          <w:cols w:space="720"/>
          <w:titlePg/>
        </w:sectPr>
      </w:pPr>
    </w:p>
    <w:p>
      <w:hyperlink r:id="rId8" w:history="1">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12.75pt">
              <v:imagedata r:id="rId9" o:title=""/>
            </v:shape>
          </w:pict>
        </w:r>
      </w:hyperlink>
      <w:r>
        <w:rPr>
          <w:rFonts w:ascii="arial" w:eastAsia="arial" w:hAnsi="arial" w:cs="arial"/>
          <w:b w:val="0"/>
          <w:i w:val="0"/>
          <w:strike w:val="0"/>
          <w:noProof w:val="0"/>
          <w:color w:val="000000"/>
          <w:position w:val="0"/>
          <w:sz w:val="18"/>
          <w:u w:val="none"/>
          <w:vertAlign w:val="baseline"/>
        </w:rPr>
        <w:t>   Caution</w:t>
        <w:cr/>
        <w:t>As of: August 9, 2026 7:09 PM Z</w:t>
      </w:r>
    </w:p>
    <w:p>
      <w:pPr>
        <w:pStyle w:val="Heading1"/>
        <w:keepNext w:val="0"/>
        <w:widowControl w:val="0"/>
        <w:spacing w:after="200" w:line="340" w:lineRule="atLeast"/>
        <w:ind w:left="0" w:right="0" w:firstLine="0"/>
        <w:jc w:val="center"/>
      </w:pPr>
      <w:hyperlink r:id="rId10" w:history="1">
        <w:r>
          <w:rPr>
            <w:rFonts w:ascii="arial" w:eastAsia="arial" w:hAnsi="arial" w:cs="arial"/>
            <w:b/>
            <w:i/>
            <w:strike w:val="0"/>
            <w:color w:val="0077CC"/>
            <w:sz w:val="28"/>
            <w:u w:val="single"/>
            <w:shd w:val="clear" w:color="auto" w:fill="FFFFFF"/>
            <w:vertAlign w:val="baseline"/>
          </w:rPr>
          <w:t>Range v. Sowell</w:t>
        </w:r>
      </w:hyperlink>
    </w:p>
    <w:p>
      <w:pPr>
        <w:keepNext w:val="0"/>
        <w:widowControl w:val="0"/>
        <w:spacing w:before="120" w:after="0" w:line="260" w:lineRule="atLeast"/>
        <w:ind w:left="0" w:right="0" w:firstLine="0"/>
        <w:jc w:val="center"/>
      </w:pPr>
      <w:r>
        <w:rPr>
          <w:rFonts w:ascii="arial" w:eastAsia="arial" w:hAnsi="arial" w:cs="arial"/>
          <w:b w:val="0"/>
          <w:i w:val="0"/>
          <w:strike w:val="0"/>
          <w:noProof w:val="0"/>
          <w:color w:val="000000"/>
          <w:position w:val="0"/>
          <w:sz w:val="20"/>
          <w:u w:val="none"/>
          <w:vertAlign w:val="baseline"/>
        </w:rPr>
        <w:t>Court of Appeals of Tennessee, At Nashville</w:t>
      </w:r>
    </w:p>
    <w:p>
      <w:pPr>
        <w:keepNext w:val="0"/>
        <w:widowControl w:val="0"/>
        <w:spacing w:before="120" w:after="0" w:line="260" w:lineRule="atLeast"/>
        <w:ind w:left="0" w:right="0" w:firstLine="0"/>
        <w:jc w:val="center"/>
      </w:pPr>
      <w:r>
        <w:rPr>
          <w:rFonts w:ascii="arial" w:eastAsia="arial" w:hAnsi="arial" w:cs="arial"/>
          <w:b w:val="0"/>
          <w:i w:val="0"/>
          <w:strike w:val="0"/>
          <w:noProof w:val="0"/>
          <w:color w:val="000000"/>
          <w:position w:val="0"/>
          <w:sz w:val="20"/>
          <w:u w:val="none"/>
          <w:vertAlign w:val="baseline"/>
        </w:rPr>
        <w:t>July 11, 2007, Session; October 29, 2009, Filed</w:t>
      </w:r>
    </w:p>
    <w:p>
      <w:pPr>
        <w:keepNext w:val="0"/>
        <w:widowControl w:val="0"/>
        <w:spacing w:before="120" w:after="0" w:line="260" w:lineRule="atLeast"/>
        <w:ind w:left="0" w:right="0" w:firstLine="0"/>
        <w:jc w:val="center"/>
        <w:sectPr>
          <w:type w:val="continuous"/>
          <w:pgMar w:top="840" w:right="1000" w:bottom="840" w:left="1000" w:header="400" w:footer="400"/>
          <w:pgNumType w:fmt="decimal"/>
          <w:cols w:num="1" w:space="240"/>
        </w:sectPr>
      </w:pPr>
      <w:r>
        <w:rPr>
          <w:rFonts w:ascii="arial" w:eastAsia="arial" w:hAnsi="arial" w:cs="arial"/>
          <w:b w:val="0"/>
          <w:i w:val="0"/>
          <w:strike w:val="0"/>
          <w:noProof w:val="0"/>
          <w:color w:val="000000"/>
          <w:position w:val="0"/>
          <w:sz w:val="20"/>
          <w:u w:val="none"/>
          <w:vertAlign w:val="baseline"/>
        </w:rPr>
        <w:t>No. M2006-02009-COA-R3-CV</w:t>
      </w:r>
    </w:p>
    <w:p>
      <w:pPr>
        <w:keepNext w:val="0"/>
        <w:widowControl w:val="0"/>
        <w:spacing w:after="0" w:line="240" w:lineRule="atLeast"/>
        <w:ind w:right="0"/>
        <w:jc w:val="both"/>
      </w:pPr>
      <w:bookmarkStart w:id="0" w:name="Bookmark_1"/>
      <w:bookmarkEnd w:id="0"/>
    </w:p>
    <w:p>
      <w:pPr>
        <w:keepNext w:val="0"/>
        <w:widowControl w:val="0"/>
        <w:spacing w:before="200" w:after="0" w:line="240" w:lineRule="atLeast"/>
        <w:ind w:left="0" w:right="0" w:firstLine="0"/>
        <w:jc w:val="left"/>
      </w:pPr>
      <w:bookmarkStart w:id="1" w:name="Reporter"/>
      <w:bookmarkEnd w:id="1"/>
      <w:r>
        <w:rPr>
          <w:rFonts w:ascii="arial" w:eastAsia="arial" w:hAnsi="arial" w:cs="arial"/>
          <w:b/>
          <w:i w:val="0"/>
          <w:strike w:val="0"/>
          <w:noProof w:val="0"/>
          <w:color w:val="000000"/>
          <w:position w:val="0"/>
          <w:sz w:val="18"/>
          <w:u w:val="none"/>
          <w:vertAlign w:val="baseline"/>
        </w:rPr>
        <w:t>Reporter</w:t>
      </w:r>
    </w:p>
    <w:p>
      <w:pPr>
        <w:keepNext w:val="0"/>
        <w:widowControl w:val="0"/>
        <w:spacing w:after="0" w:line="240" w:lineRule="atLeast"/>
        <w:ind w:left="0" w:right="0" w:firstLine="0"/>
        <w:jc w:val="left"/>
        <w:sectPr>
          <w:type w:val="continuous"/>
          <w:pgMar w:top="840" w:right="1000" w:bottom="840" w:left="1000" w:header="400" w:footer="400"/>
          <w:pgNumType w:fmt="decimal"/>
          <w:cols w:num="1" w:space="240"/>
        </w:sectPr>
      </w:pPr>
      <w:r>
        <w:rPr>
          <w:rFonts w:ascii="arial" w:eastAsia="arial" w:hAnsi="arial" w:cs="arial"/>
          <w:b w:val="0"/>
          <w:i w:val="0"/>
          <w:strike w:val="0"/>
          <w:noProof w:val="0"/>
          <w:color w:val="000000"/>
          <w:position w:val="0"/>
          <w:sz w:val="18"/>
          <w:u w:val="none"/>
          <w:vertAlign w:val="baseline"/>
        </w:rPr>
        <w:t>2009 Tenn. App. LEXIS 723 *</w:t>
      </w:r>
      <w:r>
        <w:rPr>
          <w:rFonts w:ascii="arial" w:eastAsia="arial" w:hAnsi="arial" w:cs="arial"/>
          <w:b w:val="0"/>
          <w:i w:val="0"/>
          <w:strike w:val="0"/>
          <w:noProof w:val="0"/>
          <w:color w:val="000000"/>
          <w:position w:val="0"/>
          <w:sz w:val="18"/>
          <w:u w:val="none"/>
          <w:vertAlign w:val="baseline"/>
        </w:rPr>
        <w:t xml:space="preserve">; </w:t>
      </w:r>
      <w:r>
        <w:rPr>
          <w:rFonts w:ascii="arial" w:eastAsia="arial" w:hAnsi="arial" w:cs="arial"/>
          <w:b w:val="0"/>
          <w:i w:val="0"/>
          <w:strike w:val="0"/>
          <w:noProof w:val="0"/>
          <w:color w:val="000000"/>
          <w:position w:val="0"/>
          <w:sz w:val="18"/>
          <w:u w:val="none"/>
          <w:vertAlign w:val="baseline"/>
        </w:rPr>
        <w:t>2009 WL 3518176</w:t>
      </w:r>
    </w:p>
    <w:p>
      <w:pPr>
        <w:keepNext w:val="0"/>
        <w:widowControl w:val="0"/>
        <w:spacing w:before="120" w:after="0" w:line="260" w:lineRule="atLeast"/>
        <w:ind w:left="0" w:right="0" w:firstLine="0"/>
        <w:jc w:val="left"/>
      </w:pPr>
      <w:r>
        <w:rPr>
          <w:rFonts w:ascii="arial" w:eastAsia="arial" w:hAnsi="arial" w:cs="arial"/>
          <w:b w:val="0"/>
          <w:i w:val="0"/>
          <w:strike w:val="0"/>
          <w:noProof w:val="0"/>
          <w:color w:val="000000"/>
          <w:position w:val="0"/>
          <w:sz w:val="20"/>
          <w:u w:val="none"/>
          <w:vertAlign w:val="baseline"/>
        </w:rPr>
        <w:t>KATHERINE RANGE, ET AL. v. C. M. SOWELL, JR., D.D.S.</w:t>
      </w:r>
    </w:p>
    <w:p>
      <w:pPr>
        <w:keepNext w:val="0"/>
        <w:widowControl w:val="0"/>
        <w:spacing w:before="240" w:after="0" w:line="260" w:lineRule="atLeast"/>
        <w:ind w:left="0" w:right="0" w:firstLine="0"/>
        <w:jc w:val="left"/>
      </w:pPr>
      <w:bookmarkStart w:id="2" w:name="Subsequent History"/>
      <w:bookmarkEnd w:id="2"/>
      <w:r>
        <w:rPr>
          <w:rFonts w:ascii="arial" w:eastAsia="arial" w:hAnsi="arial" w:cs="arial"/>
          <w:b/>
          <w:i w:val="0"/>
          <w:strike w:val="0"/>
          <w:noProof w:val="0"/>
          <w:color w:val="000000"/>
          <w:position w:val="0"/>
          <w:sz w:val="20"/>
          <w:u w:val="none"/>
          <w:vertAlign w:val="baseline"/>
        </w:rPr>
        <w:t>Subsequent History:</w:t>
      </w:r>
      <w:r>
        <w:rPr>
          <w:rFonts w:ascii="arial" w:eastAsia="arial" w:hAnsi="arial" w:cs="arial"/>
          <w:b w:val="0"/>
          <w:i w:val="0"/>
          <w:strike w:val="0"/>
          <w:noProof w:val="0"/>
          <w:color w:val="000000"/>
          <w:position w:val="0"/>
          <w:sz w:val="20"/>
          <w:u w:val="none"/>
          <w:vertAlign w:val="baseline"/>
        </w:rPr>
        <w:t xml:space="preserve"> Appeal after remand at, Petition denied by, in part, Petition granted by, in part </w:t>
      </w:r>
      <w:hyperlink r:id="rId11" w:history="1">
        <w:r>
          <w:rPr>
            <w:rFonts w:ascii="arial" w:eastAsia="arial" w:hAnsi="arial" w:cs="arial"/>
            <w:b w:val="0"/>
            <w:i/>
            <w:strike w:val="0"/>
            <w:noProof w:val="0"/>
            <w:color w:val="0077CC"/>
            <w:position w:val="0"/>
            <w:sz w:val="20"/>
            <w:u w:val="single"/>
            <w:shd w:val="clear" w:color="auto" w:fill="FFFFFF"/>
            <w:vertAlign w:val="baseline"/>
          </w:rPr>
          <w:t>Range v. Sowell, 2009 Tenn. App. LEXIS 871 (Tenn. Ct. App., Dec. 22, 2009)</w:t>
        </w:r>
      </w:hyperlink>
    </w:p>
    <w:p>
      <w:pPr>
        <w:keepNext w:val="0"/>
        <w:widowControl w:val="0"/>
        <w:spacing w:before="240" w:after="0" w:line="260" w:lineRule="atLeast"/>
        <w:ind w:left="0" w:right="0" w:firstLine="0"/>
        <w:jc w:val="left"/>
      </w:pPr>
      <w:r>
        <w:rPr>
          <w:rFonts w:ascii="arial" w:eastAsia="arial" w:hAnsi="arial" w:cs="arial"/>
          <w:b w:val="0"/>
          <w:i w:val="0"/>
          <w:strike w:val="0"/>
          <w:noProof w:val="0"/>
          <w:color w:val="000000"/>
          <w:position w:val="0"/>
          <w:sz w:val="20"/>
          <w:u w:val="none"/>
          <w:vertAlign w:val="baseline"/>
        </w:rPr>
        <w:t xml:space="preserve">Appeal denied by </w:t>
      </w:r>
      <w:hyperlink r:id="rId12" w:history="1">
        <w:r>
          <w:rPr>
            <w:rFonts w:ascii="arial" w:eastAsia="arial" w:hAnsi="arial" w:cs="arial"/>
            <w:b w:val="0"/>
            <w:i/>
            <w:strike w:val="0"/>
            <w:noProof w:val="0"/>
            <w:color w:val="0077CC"/>
            <w:position w:val="0"/>
            <w:sz w:val="20"/>
            <w:u w:val="single"/>
            <w:shd w:val="clear" w:color="auto" w:fill="FFFFFF"/>
            <w:vertAlign w:val="baseline"/>
          </w:rPr>
          <w:t>Range v. Sowell, 2010 Tenn. LEXIS 645 (Tenn., June 30, 2010)</w:t>
        </w:r>
      </w:hyperlink>
    </w:p>
    <w:p>
      <w:pPr>
        <w:keepNext w:val="0"/>
        <w:widowControl w:val="0"/>
        <w:spacing w:before="240" w:after="0" w:line="260" w:lineRule="atLeast"/>
        <w:ind w:left="0" w:right="0" w:firstLine="0"/>
        <w:jc w:val="both"/>
      </w:pPr>
      <w:bookmarkStart w:id="3" w:name="Prior History"/>
      <w:bookmarkEnd w:id="3"/>
      <w:r>
        <w:rPr>
          <w:rFonts w:ascii="arial" w:eastAsia="arial" w:hAnsi="arial" w:cs="arial"/>
          <w:b/>
          <w:i w:val="0"/>
          <w:strike w:val="0"/>
          <w:noProof w:val="0"/>
          <w:color w:val="000000"/>
          <w:position w:val="0"/>
          <w:sz w:val="20"/>
          <w:u w:val="none"/>
          <w:vertAlign w:val="baseline"/>
        </w:rPr>
        <w:t>Prior History:</w:t>
      </w:r>
      <w:r>
        <w:rPr>
          <w:rFonts w:ascii="arial" w:eastAsia="arial" w:hAnsi="arial" w:cs="arial"/>
          <w:b w:val="0"/>
          <w:i w:val="0"/>
          <w:strike w:val="0"/>
          <w:noProof w:val="0"/>
          <w:color w:val="000000"/>
          <w:position w:val="0"/>
          <w:sz w:val="20"/>
          <w:u w:val="none"/>
          <w:vertAlign w:val="baseline"/>
        </w:rPr>
        <w:t> </w:t>
      </w:r>
      <w:r>
        <w:rPr>
          <w:rFonts w:ascii="arial" w:eastAsia="arial" w:hAnsi="arial" w:cs="arial"/>
          <w:b/>
          <w:i w:val="0"/>
          <w:strike w:val="0"/>
          <w:noProof w:val="0"/>
          <w:color w:val="000000"/>
          <w:position w:val="0"/>
          <w:sz w:val="20"/>
          <w:u w:val="none"/>
          <w:vertAlign w:val="baseline"/>
        </w:rPr>
        <w:t> [*1] </w:t>
      </w:r>
      <w:hyperlink r:id="rId13" w:history="1">
        <w:r>
          <w:rPr>
            <w:rFonts w:ascii="arial" w:eastAsia="arial" w:hAnsi="arial" w:cs="arial"/>
            <w:b w:val="0"/>
            <w:i/>
            <w:strike w:val="0"/>
            <w:noProof w:val="0"/>
            <w:color w:val="0077CC"/>
            <w:position w:val="0"/>
            <w:sz w:val="20"/>
            <w:u w:val="single"/>
            <w:shd w:val="clear" w:color="auto" w:fill="FFFFFF"/>
            <w:vertAlign w:val="baseline"/>
          </w:rPr>
          <w:t>Tenn. R. App. P. 3</w:t>
        </w:r>
      </w:hyperlink>
      <w:r>
        <w:rPr>
          <w:rFonts w:ascii="arial" w:eastAsia="arial" w:hAnsi="arial" w:cs="arial"/>
          <w:b w:val="0"/>
          <w:i w:val="0"/>
          <w:strike w:val="0"/>
          <w:noProof w:val="0"/>
          <w:color w:val="000000"/>
          <w:position w:val="0"/>
          <w:sz w:val="20"/>
          <w:u w:val="none"/>
          <w:vertAlign w:val="baseline"/>
        </w:rPr>
        <w:t xml:space="preserve"> Appeal as of Right; Judgment of the Circuit Court Affirmed as Modified. Appeal from the Circuit Court for Maury County. No. 10615. Jim T. Hamilton, Judge.</w:t>
      </w:r>
    </w:p>
    <w:p>
      <w:pPr>
        <w:keepNext w:val="0"/>
        <w:widowControl w:val="0"/>
        <w:spacing w:before="240" w:after="0" w:line="260" w:lineRule="atLeast"/>
        <w:ind w:left="0" w:right="0" w:firstLine="0"/>
        <w:jc w:val="both"/>
      </w:pPr>
      <w:bookmarkStart w:id="4" w:name="Disposition"/>
      <w:bookmarkEnd w:id="4"/>
      <w:r>
        <w:rPr>
          <w:rFonts w:ascii="arial" w:eastAsia="arial" w:hAnsi="arial" w:cs="arial"/>
          <w:b/>
          <w:i w:val="0"/>
          <w:strike w:val="0"/>
          <w:noProof w:val="0"/>
          <w:color w:val="000000"/>
          <w:position w:val="0"/>
          <w:sz w:val="20"/>
          <w:u w:val="none"/>
          <w:vertAlign w:val="baseline"/>
        </w:rPr>
        <w:t>Disposition:</w:t>
      </w:r>
      <w:r>
        <w:rPr>
          <w:rFonts w:ascii="arial" w:eastAsia="arial" w:hAnsi="arial" w:cs="arial"/>
          <w:b w:val="0"/>
          <w:i w:val="0"/>
          <w:strike w:val="0"/>
          <w:noProof w:val="0"/>
          <w:color w:val="000000"/>
          <w:position w:val="0"/>
          <w:sz w:val="20"/>
          <w:u w:val="none"/>
          <w:vertAlign w:val="baseline"/>
        </w:rPr>
        <w:t> </w:t>
      </w:r>
      <w:bookmarkStart w:id="5" w:name="Bookmark_clspara_5"/>
      <w:bookmarkEnd w:id="5"/>
      <w:r>
        <w:rPr>
          <w:rFonts w:ascii="arial" w:eastAsia="arial" w:hAnsi="arial" w:cs="arial"/>
          <w:b w:val="0"/>
          <w:i w:val="0"/>
          <w:strike w:val="0"/>
          <w:noProof w:val="0"/>
          <w:color w:val="000000"/>
          <w:position w:val="0"/>
          <w:sz w:val="20"/>
          <w:u w:val="none"/>
          <w:vertAlign w:val="baseline"/>
        </w:rPr>
        <w:t>Judgment of the Circuit Court Affirmed as Modified.</w:t>
      </w:r>
    </w:p>
    <w:p>
      <w:pPr>
        <w:keepNext/>
        <w:widowControl w:val="0"/>
        <w:spacing w:before="240" w:after="0" w:line="340" w:lineRule="atLeast"/>
        <w:ind w:left="0" w:right="0" w:firstLine="0"/>
        <w:jc w:val="left"/>
      </w:pPr>
      <w:bookmarkStart w:id="6" w:name="Case Summary"/>
      <w:bookmarkEnd w:id="6"/>
      <w:r>
        <w:rPr>
          <w:rFonts w:ascii="arial" w:eastAsia="arial" w:hAnsi="arial" w:cs="arial"/>
          <w:b/>
          <w:i w:val="0"/>
          <w:strike w:val="0"/>
          <w:noProof w:val="0"/>
          <w:color w:val="000000"/>
          <w:position w:val="0"/>
          <w:sz w:val="28"/>
          <w:u w:val="none"/>
          <w:vertAlign w:val="baseline"/>
        </w:rPr>
        <w:t>Case Summary</w:t>
      </w:r>
    </w:p>
    <w:p>
      <w:pPr>
        <w:spacing w:line="60" w:lineRule="exact"/>
      </w:pPr>
      <w:r>
        <w:pict>
          <v:line id="_x0000_s1026" style="position:absolute;z-index:251658240" from="0,2pt" to="251pt,2pt" strokecolor="#009ddb" strokeweight="2pt">
            <v:stroke linestyle="single"/>
            <w10:wrap type="topAndBottom"/>
          </v:line>
        </w:pict>
      </w:r>
    </w:p>
    <w:p>
      <w:pPr>
        <w:spacing w:line="120" w:lineRule="exact"/>
      </w:pPr>
    </w:p>
    <w:p>
      <w:pPr>
        <w:keepNext w:val="0"/>
        <w:widowControl w:val="0"/>
        <w:spacing w:before="240" w:after="0" w:line="260" w:lineRule="atLeast"/>
        <w:ind w:left="0" w:right="0" w:firstLine="0"/>
        <w:jc w:val="left"/>
      </w:pPr>
      <w:bookmarkStart w:id="7" w:name="Procedural Posture"/>
      <w:bookmarkEnd w:id="7"/>
      <w:r>
        <w:rPr>
          <w:rFonts w:ascii="arial" w:eastAsia="arial" w:hAnsi="arial" w:cs="arial"/>
          <w:b/>
          <w:i w:val="0"/>
          <w:strike w:val="0"/>
          <w:noProof w:val="0"/>
          <w:color w:val="000000"/>
          <w:position w:val="0"/>
          <w:sz w:val="20"/>
          <w:u w:val="none"/>
          <w:vertAlign w:val="baseline"/>
        </w:rPr>
        <w:t>Procedural Posture</w:t>
      </w:r>
    </w:p>
    <w:p>
      <w:pPr>
        <w:keepNext w:val="0"/>
        <w:widowControl w:val="0"/>
        <w:spacing w:after="0" w:line="260" w:lineRule="atLeast"/>
        <w:ind w:left="0" w:right="0" w:firstLine="0"/>
        <w:jc w:val="both"/>
      </w:pPr>
      <w:bookmarkStart w:id="8" w:name="Bookmark_clspara_1"/>
      <w:bookmarkEnd w:id="8"/>
      <w:r>
        <w:rPr>
          <w:rFonts w:ascii="arial" w:eastAsia="arial" w:hAnsi="arial" w:cs="arial"/>
          <w:b w:val="0"/>
          <w:i w:val="0"/>
          <w:strike w:val="0"/>
          <w:noProof w:val="0"/>
          <w:color w:val="000000"/>
          <w:position w:val="0"/>
          <w:sz w:val="20"/>
          <w:u w:val="none"/>
          <w:vertAlign w:val="baseline"/>
        </w:rPr>
        <w:t>Plaintiff son sought review of an order from the Circuit Court for Maury County (Tennessee), which granted summary judgment in favor of defendant dentist in the son's action alleging that the dentist committed battery against his mother and which awarded discretionary costs to the dentist.</w:t>
      </w:r>
    </w:p>
    <w:p>
      <w:pPr>
        <w:keepNext w:val="0"/>
        <w:widowControl w:val="0"/>
        <w:spacing w:before="240" w:after="0" w:line="260" w:lineRule="atLeast"/>
        <w:ind w:left="0" w:right="0" w:firstLine="0"/>
        <w:jc w:val="left"/>
      </w:pPr>
      <w:bookmarkStart w:id="9" w:name="Overview"/>
      <w:bookmarkEnd w:id="9"/>
      <w:r>
        <w:rPr>
          <w:rFonts w:ascii="arial" w:eastAsia="arial" w:hAnsi="arial" w:cs="arial"/>
          <w:b/>
          <w:i w:val="0"/>
          <w:strike w:val="0"/>
          <w:noProof w:val="0"/>
          <w:color w:val="000000"/>
          <w:position w:val="0"/>
          <w:sz w:val="20"/>
          <w:u w:val="none"/>
          <w:vertAlign w:val="baseline"/>
        </w:rPr>
        <w:t>Overview</w:t>
      </w:r>
    </w:p>
    <w:p>
      <w:pPr>
        <w:keepNext w:val="0"/>
        <w:widowControl w:val="0"/>
        <w:spacing w:before="240" w:after="0" w:line="260" w:lineRule="atLeast"/>
        <w:ind w:left="0" w:right="0" w:firstLine="0"/>
        <w:jc w:val="both"/>
      </w:pPr>
      <w:bookmarkStart w:id="10" w:name="Bookmark_clspara_3"/>
      <w:bookmarkEnd w:id="10"/>
      <w:r>
        <w:rPr>
          <w:rFonts w:ascii="arial" w:eastAsia="arial" w:hAnsi="arial" w:cs="arial"/>
          <w:b w:val="0"/>
          <w:i w:val="0"/>
          <w:strike w:val="0"/>
          <w:noProof w:val="0"/>
          <w:color w:val="000000"/>
          <w:position w:val="0"/>
          <w:sz w:val="20"/>
          <w:u w:val="none"/>
          <w:vertAlign w:val="baseline"/>
        </w:rPr>
        <w:t xml:space="preserve">The son claimed that the dentist committed battery against the mother by performing dental work on her without obtaining proper consent. The dentist argued that he had operated under a general consent to medical care that the son executed at the time of his mother's admission to the nursing home, that the mother was not injured by the care he provided and that the statute of limitations barred the claims. The court held that since a tooth extraction occurred in August of 2000 and suit was not filed until December 1, 2003, any claim based on the extraction was barred by the statute of repose, </w:t>
      </w:r>
      <w:hyperlink r:id="rId14" w:history="1">
        <w:r>
          <w:rPr>
            <w:rFonts w:ascii="arial" w:eastAsia="arial" w:hAnsi="arial" w:cs="arial"/>
            <w:b w:val="0"/>
            <w:i/>
            <w:strike w:val="0"/>
            <w:noProof w:val="0"/>
            <w:color w:val="0077CC"/>
            <w:position w:val="0"/>
            <w:sz w:val="20"/>
            <w:u w:val="single"/>
            <w:shd w:val="clear" w:color="auto" w:fill="FFFFFF"/>
            <w:vertAlign w:val="baseline"/>
          </w:rPr>
          <w:t>Tenn. Code Ann. § 29-26-116</w:t>
        </w:r>
      </w:hyperlink>
      <w:r>
        <w:rPr>
          <w:rFonts w:ascii="arial" w:eastAsia="arial" w:hAnsi="arial" w:cs="arial"/>
          <w:b w:val="0"/>
          <w:i w:val="0"/>
          <w:strike w:val="0"/>
          <w:noProof w:val="0"/>
          <w:color w:val="000000"/>
          <w:position w:val="0"/>
          <w:sz w:val="20"/>
          <w:u w:val="none"/>
          <w:vertAlign w:val="baseline"/>
        </w:rPr>
        <w:t>. However, the dentist relied the mother's dentures in November 2001, so the statute of repose did not bar claims arising from that act. Regardless, summary judgment was appropriate because neither the son's response to the motion for summary judgment nor the response to the statement of undisputed facts cited to any evidence, expert or otherwise, that the mother suffered any compensable injury as a result of the relining procedure. Finally, son should not have been held personally liable for costs because he filed action in his capacity as her attorney-in-fact.</w:t>
      </w:r>
    </w:p>
    <w:p>
      <w:pPr>
        <w:keepNext w:val="0"/>
        <w:widowControl w:val="0"/>
        <w:spacing w:before="240" w:after="0" w:line="260" w:lineRule="atLeast"/>
        <w:ind w:left="0" w:right="0" w:firstLine="0"/>
        <w:jc w:val="left"/>
      </w:pPr>
      <w:bookmarkStart w:id="11" w:name="Outcome"/>
      <w:bookmarkEnd w:id="11"/>
      <w:r>
        <w:rPr>
          <w:rFonts w:ascii="arial" w:eastAsia="arial" w:hAnsi="arial" w:cs="arial"/>
          <w:b/>
          <w:i w:val="0"/>
          <w:strike w:val="0"/>
          <w:noProof w:val="0"/>
          <w:color w:val="000000"/>
          <w:position w:val="0"/>
          <w:sz w:val="20"/>
          <w:u w:val="none"/>
          <w:vertAlign w:val="baseline"/>
        </w:rPr>
        <w:t>Outcome</w:t>
      </w:r>
    </w:p>
    <w:p>
      <w:pPr>
        <w:keepNext w:val="0"/>
        <w:widowControl w:val="0"/>
        <w:spacing w:after="0" w:line="260" w:lineRule="atLeast"/>
        <w:ind w:left="0" w:right="0" w:firstLine="0"/>
        <w:jc w:val="both"/>
      </w:pPr>
      <w:bookmarkStart w:id="12" w:name="Bookmark_clspara_4"/>
      <w:bookmarkEnd w:id="12"/>
      <w:r>
        <w:rPr>
          <w:rFonts w:ascii="arial" w:eastAsia="arial" w:hAnsi="arial" w:cs="arial"/>
          <w:b w:val="0"/>
          <w:i w:val="0"/>
          <w:strike w:val="0"/>
          <w:noProof w:val="0"/>
          <w:color w:val="000000"/>
          <w:position w:val="0"/>
          <w:sz w:val="20"/>
          <w:u w:val="none"/>
          <w:vertAlign w:val="baseline"/>
        </w:rPr>
        <w:t>The court affirmed the order awarding summary judgment but modified that part of the trial court's award of discretionary costs which held the son personally liable for such costs.</w:t>
      </w:r>
    </w:p>
    <w:p>
      <w:pPr>
        <w:keepNext/>
        <w:widowControl w:val="0"/>
        <w:spacing w:before="240" w:after="0" w:line="340" w:lineRule="atLeast"/>
        <w:ind w:left="0" w:right="0" w:firstLine="0"/>
        <w:jc w:val="left"/>
      </w:pPr>
      <w:bookmarkStart w:id="13" w:name="LexisNexis® Headnotes"/>
      <w:bookmarkEnd w:id="13"/>
      <w:r>
        <w:rPr>
          <w:rFonts w:ascii="arial" w:eastAsia="arial" w:hAnsi="arial" w:cs="arial"/>
          <w:b/>
          <w:i w:val="0"/>
          <w:strike w:val="0"/>
          <w:noProof w:val="0"/>
          <w:color w:val="000000"/>
          <w:position w:val="0"/>
          <w:sz w:val="28"/>
          <w:u w:val="none"/>
          <w:vertAlign w:val="baseline"/>
        </w:rPr>
        <w:t>LexisNexis® Headnotes</w:t>
      </w:r>
    </w:p>
    <w:p>
      <w:pPr>
        <w:spacing w:line="60" w:lineRule="exact"/>
      </w:pPr>
      <w:r>
        <w:pict>
          <v:line id="_x0000_s1027" style="position:absolute;z-index:251659264" from="0,2pt" to="251pt,2pt" strokecolor="#009ddb" strokeweight="2pt">
            <v:stroke linestyle="single"/>
            <w10:wrap type="topAndBottom"/>
          </v:line>
        </w:pict>
      </w:r>
    </w:p>
    <w:p>
      <w:pPr>
        <w:spacing w:line="120" w:lineRule="exact"/>
      </w:pPr>
    </w:p>
    <w:p>
      <w:pPr>
        <w:keepNext w:val="0"/>
        <w:widowControl w:val="0"/>
        <w:spacing w:before="240" w:after="0" w:line="260" w:lineRule="atLeast"/>
        <w:ind w:left="0" w:right="0" w:firstLine="0"/>
        <w:jc w:val="left"/>
      </w:pPr>
      <w:r>
        <w:br/>
      </w:r>
      <w:bookmarkStart w:id="14" w:name="Bookmark_clscc1"/>
      <w:bookmarkEnd w:id="14"/>
    </w:p>
    <w:p>
      <w:pPr>
        <w:keepNext w:val="0"/>
        <w:widowControl w:val="0"/>
        <w:spacing w:before="240" w:after="0" w:line="260" w:lineRule="atLeast"/>
        <w:ind w:left="360" w:right="0" w:firstLine="0"/>
        <w:jc w:val="left"/>
      </w:pPr>
      <w:r>
        <w:rPr>
          <w:rFonts w:ascii="arial" w:eastAsia="arial" w:hAnsi="arial" w:cs="arial"/>
          <w:b w:val="0"/>
          <w:i w:val="0"/>
          <w:strike w:val="0"/>
          <w:noProof w:val="0"/>
          <w:color w:val="000000"/>
          <w:position w:val="0"/>
          <w:sz w:val="20"/>
          <w:u w:val="none"/>
          <w:vertAlign w:val="baseline"/>
        </w:rPr>
        <w:t>Civil Procedure &gt; Appeals &gt; Standards of Review &gt; De Novo Review</w:t>
      </w:r>
    </w:p>
    <w:p>
      <w:pPr>
        <w:keepNext w:val="0"/>
        <w:widowControl w:val="0"/>
        <w:spacing w:before="240" w:after="0" w:line="260" w:lineRule="atLeast"/>
        <w:ind w:left="360" w:right="0" w:firstLine="0"/>
        <w:jc w:val="left"/>
      </w:pPr>
      <w:r>
        <w:rPr>
          <w:rFonts w:ascii="arial" w:eastAsia="arial" w:hAnsi="arial" w:cs="arial"/>
          <w:b w:val="0"/>
          <w:i w:val="0"/>
          <w:strike w:val="0"/>
          <w:noProof w:val="0"/>
          <w:color w:val="000000"/>
          <w:position w:val="0"/>
          <w:sz w:val="20"/>
          <w:u w:val="none"/>
          <w:vertAlign w:val="baseline"/>
        </w:rPr>
        <w:t>Civil Procedure &gt; ... &gt; Summary Judgment &gt; Appellate Review &gt; Standards of Review</w:t>
      </w:r>
    </w:p>
    <w:p>
      <w:pPr>
        <w:keepNext w:val="0"/>
        <w:widowControl w:val="0"/>
        <w:spacing w:before="240" w:after="0" w:line="260" w:lineRule="atLeast"/>
        <w:ind w:left="360" w:right="0" w:firstLine="0"/>
        <w:jc w:val="left"/>
      </w:pPr>
      <w:r>
        <w:rPr>
          <w:rFonts w:ascii="arial" w:eastAsia="arial" w:hAnsi="arial" w:cs="arial"/>
          <w:b w:val="0"/>
          <w:i w:val="0"/>
          <w:strike w:val="0"/>
          <w:noProof w:val="0"/>
          <w:color w:val="000000"/>
          <w:position w:val="0"/>
          <w:sz w:val="20"/>
          <w:u w:val="none"/>
          <w:vertAlign w:val="baseline"/>
        </w:rPr>
        <w:t>Civil Procedure &gt; ... &gt; Summary Judgment &gt; Entitlement as Matter of Law &gt; General Overview</w:t>
      </w:r>
    </w:p>
    <w:p>
      <w:pPr>
        <w:keepNext w:val="0"/>
        <w:widowControl w:val="0"/>
        <w:spacing w:before="240" w:after="0" w:line="260" w:lineRule="atLeast"/>
        <w:ind w:left="0" w:right="0" w:firstLine="0"/>
        <w:jc w:val="both"/>
      </w:pPr>
      <w:hyperlink r:id="rId15" w:history="1">
        <w:r>
          <w:rPr>
            <w:rFonts w:ascii="arial" w:eastAsia="arial" w:hAnsi="arial" w:cs="arial"/>
            <w:b/>
            <w:i/>
            <w:strike w:val="0"/>
            <w:color w:val="0077CC"/>
            <w:sz w:val="20"/>
            <w:u w:val="single"/>
            <w:shd w:val="clear" w:color="auto" w:fill="FFFFFF"/>
            <w:vertAlign w:val="baseline"/>
          </w:rPr>
          <w:t>HN1</w:t>
        </w:r>
      </w:hyperlink>
      <w:r>
        <w:rPr>
          <w:rFonts w:ascii="arial" w:eastAsia="arial" w:hAnsi="arial" w:cs="arial"/>
          <w:b w:val="0"/>
          <w:i w:val="0"/>
          <w:strike w:val="0"/>
          <w:noProof w:val="0"/>
          <w:color w:val="000000"/>
          <w:position w:val="0"/>
          <w:sz w:val="20"/>
          <w:u w:val="none"/>
          <w:vertAlign w:val="baseline"/>
        </w:rPr>
        <w:t>[</w:t>
      </w:r>
      <w:hyperlink w:anchor="Bookmark_LNHNREFclscc1" w:history="1">
        <w:r>
          <w:pict>
            <v:shape id="_x0000_i1028" type="#_x0000_t75" style="width:10.5pt;height:10.5pt">
              <v:imagedata r:id="rId16" o:title=""/>
            </v:shape>
          </w:pict>
        </w:r>
      </w:hyperlink>
      <w:r>
        <w:rPr>
          <w:rFonts w:ascii="arial" w:eastAsia="arial" w:hAnsi="arial" w:cs="arial"/>
          <w:b w:val="0"/>
          <w:i w:val="0"/>
          <w:strike w:val="0"/>
          <w:noProof w:val="0"/>
          <w:color w:val="000000"/>
          <w:position w:val="0"/>
          <w:sz w:val="20"/>
          <w:u w:val="none"/>
          <w:vertAlign w:val="baseline"/>
        </w:rPr>
        <w:t xml:space="preserve">] </w:t>
      </w:r>
      <w:r>
        <w:rPr>
          <w:rFonts w:ascii="arial" w:eastAsia="arial" w:hAnsi="arial" w:cs="arial"/>
          <w:b/>
          <w:i w:val="0"/>
          <w:strike w:val="0"/>
          <w:noProof w:val="0"/>
          <w:color w:val="000000"/>
          <w:position w:val="0"/>
          <w:sz w:val="20"/>
          <w:u w:val="none"/>
          <w:vertAlign w:val="baseline"/>
        </w:rPr>
        <w:t> Standards of Review, De Novo Review</w:t>
      </w:r>
    </w:p>
    <w:p>
      <w:pPr>
        <w:keepNext w:val="0"/>
        <w:widowControl w:val="0"/>
        <w:spacing w:before="240" w:after="0" w:line="260" w:lineRule="atLeast"/>
        <w:ind w:left="0" w:right="0" w:firstLine="0"/>
        <w:jc w:val="both"/>
      </w:pPr>
      <w:bookmarkStart w:id="15" w:name="Bookmark_hnpara_1"/>
      <w:bookmarkEnd w:id="15"/>
      <w:r>
        <w:rPr>
          <w:rFonts w:ascii="arial" w:eastAsia="arial" w:hAnsi="arial" w:cs="arial"/>
          <w:b w:val="0"/>
          <w:i w:val="0"/>
          <w:strike w:val="0"/>
          <w:noProof w:val="0"/>
          <w:color w:val="000000"/>
          <w:position w:val="0"/>
          <w:sz w:val="20"/>
          <w:u w:val="none"/>
          <w:vertAlign w:val="baseline"/>
        </w:rPr>
        <w:t xml:space="preserve">A trial court's decision on a motion for summary judgment enjoys no presumption of correctness on appeal. An appellate court reviews the summary judgment decision as a question of law. Accordingly, an appellate court must review the record de novo and make a fresh determination of whether the requirements of Tenn. R. Civ. P. 56 have been met. Those requirements are that the filings supporting the motion show that there is no genuine issue of material fact and that the moving party is entitled to judgment as a matter of law. </w:t>
      </w:r>
      <w:hyperlink r:id="rId17" w:history="1">
        <w:r>
          <w:rPr>
            <w:rFonts w:ascii="arial" w:eastAsia="arial" w:hAnsi="arial" w:cs="arial"/>
            <w:b w:val="0"/>
            <w:i/>
            <w:strike w:val="0"/>
            <w:noProof w:val="0"/>
            <w:color w:val="0077CC"/>
            <w:position w:val="0"/>
            <w:sz w:val="20"/>
            <w:u w:val="single"/>
            <w:shd w:val="clear" w:color="auto" w:fill="FFFFFF"/>
            <w:vertAlign w:val="baseline"/>
          </w:rPr>
          <w:t>Tenn. R. Civ. P. 56.04</w:t>
        </w:r>
      </w:hyperlink>
      <w:r>
        <w:rPr>
          <w:rFonts w:ascii="arial" w:eastAsia="arial" w:hAnsi="arial" w:cs="arial"/>
          <w:b w:val="0"/>
          <w:i w:val="0"/>
          <w:strike w:val="0"/>
          <w:noProof w:val="0"/>
          <w:color w:val="000000"/>
          <w:position w:val="0"/>
          <w:sz w:val="20"/>
          <w:u w:val="none"/>
          <w:vertAlign w:val="baseline"/>
        </w:rPr>
        <w:t>.</w:t>
      </w:r>
    </w:p>
    <w:p>
      <w:pPr>
        <w:spacing w:before="120"/>
      </w:pPr>
      <w:bookmarkStart w:id="16" w:name="Bookmark_clscc2"/>
      <w:bookmarkEnd w:id="16"/>
    </w:p>
    <w:p>
      <w:pPr>
        <w:keepNext w:val="0"/>
        <w:widowControl w:val="0"/>
        <w:spacing w:before="240" w:after="0" w:line="260" w:lineRule="atLeast"/>
        <w:ind w:left="360" w:right="0" w:firstLine="0"/>
        <w:jc w:val="left"/>
      </w:pPr>
      <w:r>
        <w:rPr>
          <w:rFonts w:ascii="arial" w:eastAsia="arial" w:hAnsi="arial" w:cs="arial"/>
          <w:b w:val="0"/>
          <w:i w:val="0"/>
          <w:strike w:val="0"/>
          <w:noProof w:val="0"/>
          <w:color w:val="000000"/>
          <w:position w:val="0"/>
          <w:sz w:val="20"/>
          <w:u w:val="none"/>
          <w:vertAlign w:val="baseline"/>
        </w:rPr>
        <w:t>Civil Procedure &gt; ... &gt; Summary Judgment &gt; Burdens of Proof &gt; Movant Persuasion &amp; Proof</w:t>
      </w:r>
    </w:p>
    <w:p>
      <w:pPr>
        <w:keepNext w:val="0"/>
        <w:widowControl w:val="0"/>
        <w:spacing w:before="240" w:after="0" w:line="260" w:lineRule="atLeast"/>
        <w:ind w:left="360" w:right="0" w:firstLine="0"/>
        <w:jc w:val="left"/>
      </w:pPr>
      <w:r>
        <w:rPr>
          <w:rFonts w:ascii="arial" w:eastAsia="arial" w:hAnsi="arial" w:cs="arial"/>
          <w:b w:val="0"/>
          <w:i w:val="0"/>
          <w:strike w:val="0"/>
          <w:noProof w:val="0"/>
          <w:color w:val="000000"/>
          <w:position w:val="0"/>
          <w:sz w:val="20"/>
          <w:u w:val="none"/>
          <w:vertAlign w:val="baseline"/>
        </w:rPr>
        <w:t>Civil Procedure &gt; ... &gt; Summary Judgment &gt; Burdens of Proof &gt; Nonmovant Persuasion &amp; Proof</w:t>
      </w:r>
    </w:p>
    <w:p>
      <w:pPr>
        <w:keepNext w:val="0"/>
        <w:widowControl w:val="0"/>
        <w:spacing w:before="240" w:after="0" w:line="260" w:lineRule="atLeast"/>
        <w:ind w:left="0" w:right="0" w:firstLine="0"/>
        <w:jc w:val="both"/>
      </w:pPr>
      <w:hyperlink r:id="rId18" w:history="1">
        <w:r>
          <w:rPr>
            <w:rFonts w:ascii="arial" w:eastAsia="arial" w:hAnsi="arial" w:cs="arial"/>
            <w:b/>
            <w:i/>
            <w:strike w:val="0"/>
            <w:color w:val="0077CC"/>
            <w:sz w:val="20"/>
            <w:u w:val="single"/>
            <w:shd w:val="clear" w:color="auto" w:fill="FFFFFF"/>
            <w:vertAlign w:val="baseline"/>
          </w:rPr>
          <w:t>HN2</w:t>
        </w:r>
      </w:hyperlink>
      <w:r>
        <w:rPr>
          <w:rFonts w:ascii="arial" w:eastAsia="arial" w:hAnsi="arial" w:cs="arial"/>
          <w:b w:val="0"/>
          <w:i w:val="0"/>
          <w:strike w:val="0"/>
          <w:noProof w:val="0"/>
          <w:color w:val="000000"/>
          <w:position w:val="0"/>
          <w:sz w:val="20"/>
          <w:u w:val="none"/>
          <w:vertAlign w:val="baseline"/>
        </w:rPr>
        <w:t>[</w:t>
      </w:r>
      <w:hyperlink w:anchor="Bookmark_LNHNREFclscc2" w:history="1">
        <w:r>
          <w:pict>
            <v:shape id="_x0000_i1029" type="#_x0000_t75" style="width:10.5pt;height:10.5pt">
              <v:imagedata r:id="rId16" o:title=""/>
            </v:shape>
          </w:pict>
        </w:r>
      </w:hyperlink>
      <w:r>
        <w:rPr>
          <w:rFonts w:ascii="arial" w:eastAsia="arial" w:hAnsi="arial" w:cs="arial"/>
          <w:b w:val="0"/>
          <w:i w:val="0"/>
          <w:strike w:val="0"/>
          <w:noProof w:val="0"/>
          <w:color w:val="000000"/>
          <w:position w:val="0"/>
          <w:sz w:val="20"/>
          <w:u w:val="none"/>
          <w:vertAlign w:val="baseline"/>
        </w:rPr>
        <w:t xml:space="preserve">] </w:t>
      </w:r>
      <w:r>
        <w:rPr>
          <w:rFonts w:ascii="arial" w:eastAsia="arial" w:hAnsi="arial" w:cs="arial"/>
          <w:b/>
          <w:i w:val="0"/>
          <w:strike w:val="0"/>
          <w:noProof w:val="0"/>
          <w:color w:val="000000"/>
          <w:position w:val="0"/>
          <w:sz w:val="20"/>
          <w:u w:val="none"/>
          <w:vertAlign w:val="baseline"/>
        </w:rPr>
        <w:t> Burdens of Proof, Movant Persuasion &amp; Proof</w:t>
      </w:r>
    </w:p>
    <w:p>
      <w:pPr>
        <w:keepNext w:val="0"/>
        <w:widowControl w:val="0"/>
        <w:spacing w:before="240" w:after="0" w:line="260" w:lineRule="atLeast"/>
        <w:ind w:left="0" w:right="0" w:firstLine="0"/>
        <w:jc w:val="both"/>
      </w:pPr>
      <w:bookmarkStart w:id="17" w:name="Bookmark_hnpara_2"/>
      <w:bookmarkEnd w:id="17"/>
      <w:r>
        <w:rPr>
          <w:rFonts w:ascii="arial" w:eastAsia="arial" w:hAnsi="arial" w:cs="arial"/>
          <w:b w:val="0"/>
          <w:i w:val="0"/>
          <w:strike w:val="0"/>
          <w:noProof w:val="0"/>
          <w:color w:val="000000"/>
          <w:position w:val="0"/>
          <w:sz w:val="20"/>
          <w:u w:val="none"/>
          <w:vertAlign w:val="baseline"/>
        </w:rPr>
        <w:t>The moving party has the burden of demonstrating it is entitled to judgment as a matter of law and that there are no material facts in dispute. To be entitled to summary judgment, a defendant moving party must either (1) affirmatively negate an essential element of the non-moving party's claim or (2) show that the nonmoving party cannot prove an essential element of the claim at trial. If the party seeking summary judgment makes a properly supported motion, the burden shifts to the nonmoving party to set forth specific facts establishing the existence of a genuine issue of material fact.</w:t>
      </w:r>
    </w:p>
    <w:p>
      <w:pPr>
        <w:spacing w:before="120"/>
      </w:pPr>
      <w:bookmarkStart w:id="18" w:name="Bookmark_clscc3"/>
      <w:bookmarkEnd w:id="18"/>
    </w:p>
    <w:p>
      <w:pPr>
        <w:keepNext w:val="0"/>
        <w:widowControl w:val="0"/>
        <w:spacing w:before="240" w:after="0" w:line="260" w:lineRule="atLeast"/>
        <w:ind w:left="360" w:right="0" w:firstLine="0"/>
        <w:jc w:val="left"/>
      </w:pPr>
      <w:r>
        <w:rPr>
          <w:rFonts w:ascii="arial" w:eastAsia="arial" w:hAnsi="arial" w:cs="arial"/>
          <w:b w:val="0"/>
          <w:i w:val="0"/>
          <w:strike w:val="0"/>
          <w:noProof w:val="0"/>
          <w:color w:val="000000"/>
          <w:position w:val="0"/>
          <w:sz w:val="20"/>
          <w:u w:val="none"/>
          <w:vertAlign w:val="baseline"/>
        </w:rPr>
        <w:t>Civil Procedure &gt; ... &gt; Summary Judgment &gt; Burdens of Proof &gt; Movant Persuasion &amp; Proof</w:t>
      </w:r>
    </w:p>
    <w:p>
      <w:pPr>
        <w:keepNext w:val="0"/>
        <w:widowControl w:val="0"/>
        <w:spacing w:before="240" w:after="0" w:line="260" w:lineRule="atLeast"/>
        <w:ind w:left="360" w:right="0" w:firstLine="0"/>
        <w:jc w:val="left"/>
      </w:pPr>
      <w:r>
        <w:rPr>
          <w:rFonts w:ascii="arial" w:eastAsia="arial" w:hAnsi="arial" w:cs="arial"/>
          <w:b w:val="0"/>
          <w:i w:val="0"/>
          <w:strike w:val="0"/>
          <w:noProof w:val="0"/>
          <w:color w:val="000000"/>
          <w:position w:val="0"/>
          <w:sz w:val="20"/>
          <w:u w:val="none"/>
          <w:vertAlign w:val="baseline"/>
        </w:rPr>
        <w:t>Civil Procedure &gt; ... &gt; Summary Judgment &gt; Appellate Review &gt; Standards of Review</w:t>
      </w:r>
    </w:p>
    <w:p>
      <w:pPr>
        <w:keepNext w:val="0"/>
        <w:widowControl w:val="0"/>
        <w:spacing w:before="240" w:after="0" w:line="260" w:lineRule="atLeast"/>
        <w:ind w:left="360" w:right="0" w:firstLine="0"/>
        <w:jc w:val="left"/>
      </w:pPr>
      <w:r>
        <w:rPr>
          <w:rFonts w:ascii="arial" w:eastAsia="arial" w:hAnsi="arial" w:cs="arial"/>
          <w:b w:val="0"/>
          <w:i w:val="0"/>
          <w:strike w:val="0"/>
          <w:noProof w:val="0"/>
          <w:color w:val="000000"/>
          <w:position w:val="0"/>
          <w:sz w:val="20"/>
          <w:u w:val="none"/>
          <w:vertAlign w:val="baseline"/>
        </w:rPr>
        <w:t>Civil Procedure &gt; ... &gt; Summary Judgment &gt; Burdens of Proof &gt; Nonmovant Persuasion &amp; Proof</w:t>
      </w:r>
    </w:p>
    <w:p>
      <w:pPr>
        <w:keepNext w:val="0"/>
        <w:widowControl w:val="0"/>
        <w:spacing w:before="240" w:after="0" w:line="260" w:lineRule="atLeast"/>
        <w:ind w:left="0" w:right="0" w:firstLine="0"/>
        <w:jc w:val="both"/>
      </w:pPr>
      <w:hyperlink r:id="rId19" w:history="1">
        <w:r>
          <w:rPr>
            <w:rFonts w:ascii="arial" w:eastAsia="arial" w:hAnsi="arial" w:cs="arial"/>
            <w:b/>
            <w:i/>
            <w:strike w:val="0"/>
            <w:color w:val="0077CC"/>
            <w:sz w:val="20"/>
            <w:u w:val="single"/>
            <w:shd w:val="clear" w:color="auto" w:fill="FFFFFF"/>
            <w:vertAlign w:val="baseline"/>
          </w:rPr>
          <w:t>HN3</w:t>
        </w:r>
      </w:hyperlink>
      <w:r>
        <w:rPr>
          <w:rFonts w:ascii="arial" w:eastAsia="arial" w:hAnsi="arial" w:cs="arial"/>
          <w:b w:val="0"/>
          <w:i w:val="0"/>
          <w:strike w:val="0"/>
          <w:noProof w:val="0"/>
          <w:color w:val="000000"/>
          <w:position w:val="0"/>
          <w:sz w:val="20"/>
          <w:u w:val="none"/>
          <w:vertAlign w:val="baseline"/>
        </w:rPr>
        <w:t>[</w:t>
      </w:r>
      <w:hyperlink w:anchor="Bookmark_LNHNREFclscc3" w:history="1">
        <w:r>
          <w:pict>
            <v:shape id="_x0000_i1030" type="#_x0000_t75" style="width:10.5pt;height:10.5pt">
              <v:imagedata r:id="rId16" o:title=""/>
            </v:shape>
          </w:pict>
        </w:r>
      </w:hyperlink>
      <w:r>
        <w:rPr>
          <w:rFonts w:ascii="arial" w:eastAsia="arial" w:hAnsi="arial" w:cs="arial"/>
          <w:b w:val="0"/>
          <w:i w:val="0"/>
          <w:strike w:val="0"/>
          <w:noProof w:val="0"/>
          <w:color w:val="000000"/>
          <w:position w:val="0"/>
          <w:sz w:val="20"/>
          <w:u w:val="none"/>
          <w:vertAlign w:val="baseline"/>
        </w:rPr>
        <w:t xml:space="preserve">] </w:t>
      </w:r>
      <w:r>
        <w:rPr>
          <w:rFonts w:ascii="arial" w:eastAsia="arial" w:hAnsi="arial" w:cs="arial"/>
          <w:b/>
          <w:i w:val="0"/>
          <w:strike w:val="0"/>
          <w:noProof w:val="0"/>
          <w:color w:val="000000"/>
          <w:position w:val="0"/>
          <w:sz w:val="20"/>
          <w:u w:val="none"/>
          <w:vertAlign w:val="baseline"/>
        </w:rPr>
        <w:t> Burdens of Proof, Movant Persuasion &amp; Proof</w:t>
      </w:r>
    </w:p>
    <w:p>
      <w:pPr>
        <w:keepNext w:val="0"/>
        <w:widowControl w:val="0"/>
        <w:spacing w:before="240" w:after="0" w:line="260" w:lineRule="atLeast"/>
        <w:ind w:left="0" w:right="0" w:firstLine="0"/>
        <w:jc w:val="both"/>
      </w:pPr>
      <w:bookmarkStart w:id="19" w:name="Bookmark_hnpara_3"/>
      <w:bookmarkEnd w:id="19"/>
      <w:r>
        <w:rPr>
          <w:rFonts w:ascii="arial" w:eastAsia="arial" w:hAnsi="arial" w:cs="arial"/>
          <w:b w:val="0"/>
          <w:i w:val="0"/>
          <w:strike w:val="0"/>
          <w:noProof w:val="0"/>
          <w:color w:val="000000"/>
          <w:position w:val="0"/>
          <w:sz w:val="20"/>
          <w:u w:val="none"/>
          <w:vertAlign w:val="baseline"/>
        </w:rPr>
        <w:t>In an appellate court's review, an appellate court must consider the evidence presented at the summary judgment stage in the light most favorable to the non-moving party, and an appellate court must afford that party all reasonable inferences. When the party seeking summary judgment makes a properly supported motion, the burden shifts to the nonmoving party to set forth specific facts establishing the existence of disputed, material facts which must be must be resolved by the trier of fact. If, and only if, the moving party successfully negates an essential element of the nonmoving party's claim or demonstrates the nonmoving party's inability to prove an essential element at trial, the burden shifts to the non-moving party to at least create a dispute of fact as to the element.</w:t>
      </w:r>
    </w:p>
    <w:p>
      <w:pPr>
        <w:spacing w:before="120"/>
      </w:pPr>
      <w:bookmarkStart w:id="20" w:name="Bookmark_clscc4"/>
      <w:bookmarkEnd w:id="20"/>
    </w:p>
    <w:p>
      <w:pPr>
        <w:keepNext w:val="0"/>
        <w:widowControl w:val="0"/>
        <w:spacing w:before="240" w:after="0" w:line="260" w:lineRule="atLeast"/>
        <w:ind w:left="360" w:right="0" w:firstLine="0"/>
        <w:jc w:val="left"/>
      </w:pPr>
      <w:r>
        <w:rPr>
          <w:rFonts w:ascii="arial" w:eastAsia="arial" w:hAnsi="arial" w:cs="arial"/>
          <w:b w:val="0"/>
          <w:i w:val="0"/>
          <w:strike w:val="0"/>
          <w:noProof w:val="0"/>
          <w:color w:val="000000"/>
          <w:position w:val="0"/>
          <w:sz w:val="20"/>
          <w:u w:val="none"/>
          <w:vertAlign w:val="baseline"/>
        </w:rPr>
        <w:t>Governments &gt; Legislation &gt; Statute of Limitations &gt; General Overview</w:t>
      </w:r>
    </w:p>
    <w:p>
      <w:pPr>
        <w:keepNext w:val="0"/>
        <w:widowControl w:val="0"/>
        <w:spacing w:before="240" w:after="0" w:line="260" w:lineRule="atLeast"/>
        <w:ind w:left="0" w:right="0" w:firstLine="0"/>
        <w:jc w:val="both"/>
      </w:pPr>
      <w:hyperlink r:id="rId20" w:history="1">
        <w:r>
          <w:rPr>
            <w:rFonts w:ascii="arial" w:eastAsia="arial" w:hAnsi="arial" w:cs="arial"/>
            <w:b/>
            <w:i/>
            <w:strike w:val="0"/>
            <w:color w:val="0077CC"/>
            <w:sz w:val="20"/>
            <w:u w:val="single"/>
            <w:shd w:val="clear" w:color="auto" w:fill="FFFFFF"/>
            <w:vertAlign w:val="baseline"/>
          </w:rPr>
          <w:t>HN4</w:t>
        </w:r>
      </w:hyperlink>
      <w:r>
        <w:rPr>
          <w:rFonts w:ascii="arial" w:eastAsia="arial" w:hAnsi="arial" w:cs="arial"/>
          <w:b w:val="0"/>
          <w:i w:val="0"/>
          <w:strike w:val="0"/>
          <w:noProof w:val="0"/>
          <w:color w:val="000000"/>
          <w:position w:val="0"/>
          <w:sz w:val="20"/>
          <w:u w:val="none"/>
          <w:vertAlign w:val="baseline"/>
        </w:rPr>
        <w:t>[</w:t>
      </w:r>
      <w:hyperlink w:anchor="Bookmark_LNHNREFclscc4" w:history="1">
        <w:r>
          <w:pict>
            <v:shape id="_x0000_i1031" type="#_x0000_t75" style="width:10.5pt;height:10.5pt">
              <v:imagedata r:id="rId16" o:title=""/>
            </v:shape>
          </w:pict>
        </w:r>
      </w:hyperlink>
      <w:r>
        <w:rPr>
          <w:rFonts w:ascii="arial" w:eastAsia="arial" w:hAnsi="arial" w:cs="arial"/>
          <w:b w:val="0"/>
          <w:i w:val="0"/>
          <w:strike w:val="0"/>
          <w:noProof w:val="0"/>
          <w:color w:val="000000"/>
          <w:position w:val="0"/>
          <w:sz w:val="20"/>
          <w:u w:val="none"/>
          <w:vertAlign w:val="baseline"/>
        </w:rPr>
        <w:t xml:space="preserve">] </w:t>
      </w:r>
      <w:r>
        <w:rPr>
          <w:rFonts w:ascii="arial" w:eastAsia="arial" w:hAnsi="arial" w:cs="arial"/>
          <w:b/>
          <w:i w:val="0"/>
          <w:strike w:val="0"/>
          <w:noProof w:val="0"/>
          <w:color w:val="000000"/>
          <w:position w:val="0"/>
          <w:sz w:val="20"/>
          <w:u w:val="none"/>
          <w:vertAlign w:val="baseline"/>
        </w:rPr>
        <w:t> Legislation, Statute of Limitations</w:t>
      </w:r>
    </w:p>
    <w:p>
      <w:pPr>
        <w:keepNext w:val="0"/>
        <w:widowControl w:val="0"/>
        <w:spacing w:before="240" w:after="0" w:line="260" w:lineRule="atLeast"/>
        <w:ind w:left="0" w:right="0" w:firstLine="0"/>
        <w:jc w:val="both"/>
      </w:pPr>
      <w:bookmarkStart w:id="21" w:name="Bookmark_hnpara_4"/>
      <w:bookmarkEnd w:id="21"/>
      <w:r>
        <w:rPr>
          <w:rFonts w:ascii="arial" w:eastAsia="arial" w:hAnsi="arial" w:cs="arial"/>
          <w:b w:val="0"/>
          <w:i w:val="0"/>
          <w:strike w:val="0"/>
          <w:noProof w:val="0"/>
          <w:color w:val="000000"/>
          <w:position w:val="0"/>
          <w:sz w:val="20"/>
          <w:u w:val="none"/>
          <w:vertAlign w:val="baseline"/>
        </w:rPr>
        <w:t>Statutes of limitations are enacted for the purposes of encouraging injured parties to pursue their legal remedies in a prompt manner and to protect defendants from stale claims and vexatious litigation. The rationale behind them is the presumption that a person having a well-founded claim will not delay enforcing it beyond a reasonable time if he has the power to sue. Such statutes are not disfavored, for they are expressions of public policy which give plaintiffs what the legislature deems to be a reasonable time to present their claims; and it protects defendant and the courts from having to deal with stale cases where the search for the truth and justice may be seriously impeded by the death or disappearance of witnesses, fading memories, disappearance of documents or other loss of material evidence.</w:t>
      </w:r>
    </w:p>
    <w:p>
      <w:pPr>
        <w:spacing w:before="120"/>
      </w:pPr>
      <w:bookmarkStart w:id="22" w:name="Bookmark_clscc5"/>
      <w:bookmarkEnd w:id="22"/>
    </w:p>
    <w:p>
      <w:pPr>
        <w:keepNext w:val="0"/>
        <w:widowControl w:val="0"/>
        <w:spacing w:before="240" w:after="0" w:line="260" w:lineRule="atLeast"/>
        <w:ind w:left="360" w:right="0" w:firstLine="0"/>
        <w:jc w:val="left"/>
      </w:pPr>
      <w:r>
        <w:rPr>
          <w:rFonts w:ascii="arial" w:eastAsia="arial" w:hAnsi="arial" w:cs="arial"/>
          <w:b w:val="0"/>
          <w:i w:val="0"/>
          <w:strike w:val="0"/>
          <w:noProof w:val="0"/>
          <w:color w:val="000000"/>
          <w:position w:val="0"/>
          <w:sz w:val="20"/>
          <w:u w:val="none"/>
          <w:vertAlign w:val="baseline"/>
        </w:rPr>
        <w:t>Governments &gt; Legislation &gt; Statute of Limitations &gt; Time Limitations</w:t>
      </w:r>
    </w:p>
    <w:p>
      <w:pPr>
        <w:keepNext w:val="0"/>
        <w:widowControl w:val="0"/>
        <w:spacing w:before="240" w:after="0" w:line="260" w:lineRule="atLeast"/>
        <w:ind w:left="0" w:right="0" w:firstLine="0"/>
        <w:jc w:val="both"/>
      </w:pPr>
      <w:hyperlink r:id="rId21" w:history="1">
        <w:r>
          <w:rPr>
            <w:rFonts w:ascii="arial" w:eastAsia="arial" w:hAnsi="arial" w:cs="arial"/>
            <w:b/>
            <w:i/>
            <w:strike w:val="0"/>
            <w:color w:val="0077CC"/>
            <w:sz w:val="20"/>
            <w:u w:val="single"/>
            <w:shd w:val="clear" w:color="auto" w:fill="FFFFFF"/>
            <w:vertAlign w:val="baseline"/>
          </w:rPr>
          <w:t>HN5</w:t>
        </w:r>
      </w:hyperlink>
      <w:r>
        <w:rPr>
          <w:rFonts w:ascii="arial" w:eastAsia="arial" w:hAnsi="arial" w:cs="arial"/>
          <w:b w:val="0"/>
          <w:i w:val="0"/>
          <w:strike w:val="0"/>
          <w:noProof w:val="0"/>
          <w:color w:val="000000"/>
          <w:position w:val="0"/>
          <w:sz w:val="20"/>
          <w:u w:val="none"/>
          <w:vertAlign w:val="baseline"/>
        </w:rPr>
        <w:t>[</w:t>
      </w:r>
      <w:hyperlink w:anchor="Bookmark_LNHNREFclscc5" w:history="1">
        <w:r>
          <w:pict>
            <v:shape id="_x0000_i1032" type="#_x0000_t75" style="width:10.5pt;height:10.5pt">
              <v:imagedata r:id="rId16" o:title=""/>
            </v:shape>
          </w:pict>
        </w:r>
      </w:hyperlink>
      <w:r>
        <w:rPr>
          <w:rFonts w:ascii="arial" w:eastAsia="arial" w:hAnsi="arial" w:cs="arial"/>
          <w:b w:val="0"/>
          <w:i w:val="0"/>
          <w:strike w:val="0"/>
          <w:noProof w:val="0"/>
          <w:color w:val="000000"/>
          <w:position w:val="0"/>
          <w:sz w:val="20"/>
          <w:u w:val="none"/>
          <w:vertAlign w:val="baseline"/>
        </w:rPr>
        <w:t xml:space="preserve">] </w:t>
      </w:r>
      <w:r>
        <w:rPr>
          <w:rFonts w:ascii="arial" w:eastAsia="arial" w:hAnsi="arial" w:cs="arial"/>
          <w:b/>
          <w:i w:val="0"/>
          <w:strike w:val="0"/>
          <w:noProof w:val="0"/>
          <w:color w:val="000000"/>
          <w:position w:val="0"/>
          <w:sz w:val="20"/>
          <w:u w:val="none"/>
          <w:vertAlign w:val="baseline"/>
        </w:rPr>
        <w:t> Statute of Limitations, Time Limitations</w:t>
      </w:r>
    </w:p>
    <w:p>
      <w:pPr>
        <w:keepNext w:val="0"/>
        <w:widowControl w:val="0"/>
        <w:spacing w:before="240" w:after="0" w:line="260" w:lineRule="atLeast"/>
        <w:ind w:left="0" w:right="0" w:firstLine="0"/>
        <w:jc w:val="both"/>
      </w:pPr>
      <w:bookmarkStart w:id="23" w:name="Bookmark_hnpara_5"/>
      <w:bookmarkEnd w:id="23"/>
      <w:r>
        <w:rPr>
          <w:rFonts w:ascii="arial" w:eastAsia="arial" w:hAnsi="arial" w:cs="arial"/>
          <w:b w:val="0"/>
          <w:i w:val="0"/>
          <w:strike w:val="0"/>
          <w:noProof w:val="0"/>
          <w:color w:val="000000"/>
          <w:position w:val="0"/>
          <w:sz w:val="20"/>
          <w:u w:val="none"/>
          <w:vertAlign w:val="baseline"/>
        </w:rPr>
        <w:t>Statutes of limitation are held to run from the date that the cause of action accrues, which in most cases means the date of the alleged injury. To mitigate the possibly harsh effects that could result from too inflexible an application of the statute of limitations, Tennessee courts created an exception to the statute in the form of the discovery doctrine, which states that a plaintiff's cause of action does not accrue until the plaintiff discovers, or when in the exercise of reasonable care should have discovered, that he has been injured.</w:t>
      </w:r>
    </w:p>
    <w:p>
      <w:pPr>
        <w:spacing w:before="120"/>
      </w:pPr>
      <w:bookmarkStart w:id="24" w:name="Bookmark_clscc6"/>
      <w:bookmarkEnd w:id="24"/>
    </w:p>
    <w:p>
      <w:pPr>
        <w:keepNext w:val="0"/>
        <w:widowControl w:val="0"/>
        <w:spacing w:before="240" w:after="0" w:line="260" w:lineRule="atLeast"/>
        <w:ind w:left="360" w:right="0" w:firstLine="0"/>
        <w:jc w:val="left"/>
      </w:pPr>
      <w:r>
        <w:rPr>
          <w:rFonts w:ascii="arial" w:eastAsia="arial" w:hAnsi="arial" w:cs="arial"/>
          <w:b w:val="0"/>
          <w:i w:val="0"/>
          <w:strike w:val="0"/>
          <w:noProof w:val="0"/>
          <w:color w:val="000000"/>
          <w:position w:val="0"/>
          <w:sz w:val="20"/>
          <w:u w:val="none"/>
          <w:vertAlign w:val="baseline"/>
        </w:rPr>
        <w:t>Governments &gt; Legislation &gt; Statute of Repose</w:t>
      </w:r>
    </w:p>
    <w:p>
      <w:pPr>
        <w:keepNext w:val="0"/>
        <w:widowControl w:val="0"/>
        <w:spacing w:before="240" w:after="0" w:line="260" w:lineRule="atLeast"/>
        <w:ind w:left="0" w:right="0" w:firstLine="0"/>
        <w:jc w:val="both"/>
      </w:pPr>
      <w:hyperlink r:id="rId22" w:history="1">
        <w:r>
          <w:rPr>
            <w:rFonts w:ascii="arial" w:eastAsia="arial" w:hAnsi="arial" w:cs="arial"/>
            <w:b/>
            <w:i/>
            <w:strike w:val="0"/>
            <w:color w:val="0077CC"/>
            <w:sz w:val="20"/>
            <w:u w:val="single"/>
            <w:shd w:val="clear" w:color="auto" w:fill="FFFFFF"/>
            <w:vertAlign w:val="baseline"/>
          </w:rPr>
          <w:t>HN6</w:t>
        </w:r>
      </w:hyperlink>
      <w:r>
        <w:rPr>
          <w:rFonts w:ascii="arial" w:eastAsia="arial" w:hAnsi="arial" w:cs="arial"/>
          <w:b w:val="0"/>
          <w:i w:val="0"/>
          <w:strike w:val="0"/>
          <w:noProof w:val="0"/>
          <w:color w:val="000000"/>
          <w:position w:val="0"/>
          <w:sz w:val="20"/>
          <w:u w:val="none"/>
          <w:vertAlign w:val="baseline"/>
        </w:rPr>
        <w:t>[</w:t>
      </w:r>
      <w:hyperlink w:anchor="Bookmark_LNHNREFclscc6" w:history="1">
        <w:r>
          <w:pict>
            <v:shape id="_x0000_i1033" type="#_x0000_t75" style="width:10.5pt;height:10.5pt">
              <v:imagedata r:id="rId16" o:title=""/>
            </v:shape>
          </w:pict>
        </w:r>
      </w:hyperlink>
      <w:r>
        <w:rPr>
          <w:rFonts w:ascii="arial" w:eastAsia="arial" w:hAnsi="arial" w:cs="arial"/>
          <w:b w:val="0"/>
          <w:i w:val="0"/>
          <w:strike w:val="0"/>
          <w:noProof w:val="0"/>
          <w:color w:val="000000"/>
          <w:position w:val="0"/>
          <w:sz w:val="20"/>
          <w:u w:val="none"/>
          <w:vertAlign w:val="baseline"/>
        </w:rPr>
        <w:t xml:space="preserve">] </w:t>
      </w:r>
      <w:r>
        <w:rPr>
          <w:rFonts w:ascii="arial" w:eastAsia="arial" w:hAnsi="arial" w:cs="arial"/>
          <w:b/>
          <w:i w:val="0"/>
          <w:strike w:val="0"/>
          <w:noProof w:val="0"/>
          <w:color w:val="000000"/>
          <w:position w:val="0"/>
          <w:sz w:val="20"/>
          <w:u w:val="none"/>
          <w:vertAlign w:val="baseline"/>
        </w:rPr>
        <w:t> Legislation, Statute of Repose</w:t>
      </w:r>
    </w:p>
    <w:p>
      <w:pPr>
        <w:keepNext w:val="0"/>
        <w:widowControl w:val="0"/>
        <w:spacing w:before="240" w:after="0" w:line="260" w:lineRule="atLeast"/>
        <w:ind w:left="0" w:right="0" w:firstLine="0"/>
        <w:jc w:val="both"/>
      </w:pPr>
      <w:bookmarkStart w:id="25" w:name="Bookmark_hnpara_6"/>
      <w:bookmarkEnd w:id="25"/>
      <w:r>
        <w:rPr>
          <w:rFonts w:ascii="arial" w:eastAsia="arial" w:hAnsi="arial" w:cs="arial"/>
          <w:b w:val="0"/>
          <w:i w:val="0"/>
          <w:strike w:val="0"/>
          <w:noProof w:val="0"/>
          <w:color w:val="000000"/>
          <w:position w:val="0"/>
          <w:sz w:val="20"/>
          <w:u w:val="none"/>
          <w:vertAlign w:val="baseline"/>
        </w:rPr>
        <w:t xml:space="preserve">The Tennessee Legislature has established statutes of repose in specific types of cases to place an outer limit or ceiling on the time in which an action may be brought. </w:t>
      </w:r>
      <w:hyperlink r:id="rId23" w:history="1">
        <w:r>
          <w:rPr>
            <w:rFonts w:ascii="arial" w:eastAsia="arial" w:hAnsi="arial" w:cs="arial"/>
            <w:b w:val="0"/>
            <w:i/>
            <w:strike w:val="0"/>
            <w:noProof w:val="0"/>
            <w:color w:val="0077CC"/>
            <w:position w:val="0"/>
            <w:sz w:val="20"/>
            <w:u w:val="single"/>
            <w:shd w:val="clear" w:color="auto" w:fill="FFFFFF"/>
            <w:vertAlign w:val="baseline"/>
          </w:rPr>
          <w:t>Tenn. Code Ann. § 29-26-116(a)(3)</w:t>
        </w:r>
      </w:hyperlink>
      <w:r>
        <w:rPr>
          <w:rFonts w:ascii="arial" w:eastAsia="arial" w:hAnsi="arial" w:cs="arial"/>
          <w:b w:val="0"/>
          <w:i w:val="0"/>
          <w:strike w:val="0"/>
          <w:noProof w:val="0"/>
          <w:color w:val="000000"/>
          <w:position w:val="0"/>
          <w:sz w:val="20"/>
          <w:u w:val="none"/>
          <w:vertAlign w:val="baseline"/>
        </w:rPr>
        <w:t>. Without such a ceiling, the operation of the discovery rule would potentially allow a plaintiff to extend the statute of limitations indefinitely.</w:t>
      </w:r>
    </w:p>
    <w:p>
      <w:pPr>
        <w:spacing w:before="120"/>
      </w:pPr>
      <w:bookmarkStart w:id="26" w:name="Bookmark_clscc7"/>
      <w:bookmarkEnd w:id="26"/>
    </w:p>
    <w:p>
      <w:pPr>
        <w:keepNext w:val="0"/>
        <w:widowControl w:val="0"/>
        <w:spacing w:before="240" w:after="0" w:line="260" w:lineRule="atLeast"/>
        <w:ind w:left="360" w:right="0" w:firstLine="0"/>
        <w:jc w:val="left"/>
      </w:pPr>
      <w:r>
        <w:rPr>
          <w:rFonts w:ascii="arial" w:eastAsia="arial" w:hAnsi="arial" w:cs="arial"/>
          <w:b w:val="0"/>
          <w:i w:val="0"/>
          <w:strike w:val="0"/>
          <w:noProof w:val="0"/>
          <w:color w:val="000000"/>
          <w:position w:val="0"/>
          <w:sz w:val="20"/>
          <w:u w:val="none"/>
          <w:vertAlign w:val="baseline"/>
        </w:rPr>
        <w:t>Governments &gt; Legislation &gt; Statute of Repose</w:t>
      </w:r>
    </w:p>
    <w:p>
      <w:pPr>
        <w:keepNext w:val="0"/>
        <w:widowControl w:val="0"/>
        <w:spacing w:before="240" w:after="0" w:line="260" w:lineRule="atLeast"/>
        <w:ind w:left="360" w:right="0" w:firstLine="0"/>
        <w:jc w:val="left"/>
      </w:pPr>
      <w:r>
        <w:rPr>
          <w:rFonts w:ascii="arial" w:eastAsia="arial" w:hAnsi="arial" w:cs="arial"/>
          <w:b w:val="0"/>
          <w:i w:val="0"/>
          <w:strike w:val="0"/>
          <w:noProof w:val="0"/>
          <w:color w:val="000000"/>
          <w:position w:val="0"/>
          <w:sz w:val="20"/>
          <w:u w:val="none"/>
          <w:vertAlign w:val="baseline"/>
        </w:rPr>
        <w:t>Governments &gt; Legislation &gt; Statute of Limitations &gt; Time Limitations</w:t>
      </w:r>
    </w:p>
    <w:p>
      <w:pPr>
        <w:keepNext w:val="0"/>
        <w:widowControl w:val="0"/>
        <w:spacing w:before="240" w:after="0" w:line="260" w:lineRule="atLeast"/>
        <w:ind w:left="0" w:right="0" w:firstLine="0"/>
        <w:jc w:val="both"/>
      </w:pPr>
      <w:hyperlink r:id="rId24" w:history="1">
        <w:r>
          <w:rPr>
            <w:rFonts w:ascii="arial" w:eastAsia="arial" w:hAnsi="arial" w:cs="arial"/>
            <w:b/>
            <w:i/>
            <w:strike w:val="0"/>
            <w:color w:val="0077CC"/>
            <w:sz w:val="20"/>
            <w:u w:val="single"/>
            <w:shd w:val="clear" w:color="auto" w:fill="FFFFFF"/>
            <w:vertAlign w:val="baseline"/>
          </w:rPr>
          <w:t>HN7</w:t>
        </w:r>
      </w:hyperlink>
      <w:r>
        <w:rPr>
          <w:rFonts w:ascii="arial" w:eastAsia="arial" w:hAnsi="arial" w:cs="arial"/>
          <w:b w:val="0"/>
          <w:i w:val="0"/>
          <w:strike w:val="0"/>
          <w:noProof w:val="0"/>
          <w:color w:val="000000"/>
          <w:position w:val="0"/>
          <w:sz w:val="20"/>
          <w:u w:val="none"/>
          <w:vertAlign w:val="baseline"/>
        </w:rPr>
        <w:t>[</w:t>
      </w:r>
      <w:hyperlink w:anchor="Bookmark_LNHNREFclscc7" w:history="1">
        <w:r>
          <w:pict>
            <v:shape id="_x0000_i1034" type="#_x0000_t75" style="width:10.5pt;height:10.5pt">
              <v:imagedata r:id="rId16" o:title=""/>
            </v:shape>
          </w:pict>
        </w:r>
      </w:hyperlink>
      <w:r>
        <w:rPr>
          <w:rFonts w:ascii="arial" w:eastAsia="arial" w:hAnsi="arial" w:cs="arial"/>
          <w:b w:val="0"/>
          <w:i w:val="0"/>
          <w:strike w:val="0"/>
          <w:noProof w:val="0"/>
          <w:color w:val="000000"/>
          <w:position w:val="0"/>
          <w:sz w:val="20"/>
          <w:u w:val="none"/>
          <w:vertAlign w:val="baseline"/>
        </w:rPr>
        <w:t xml:space="preserve">] </w:t>
      </w:r>
      <w:r>
        <w:rPr>
          <w:rFonts w:ascii="arial" w:eastAsia="arial" w:hAnsi="arial" w:cs="arial"/>
          <w:b/>
          <w:i w:val="0"/>
          <w:strike w:val="0"/>
          <w:noProof w:val="0"/>
          <w:color w:val="000000"/>
          <w:position w:val="0"/>
          <w:sz w:val="20"/>
          <w:u w:val="none"/>
          <w:vertAlign w:val="baseline"/>
        </w:rPr>
        <w:t> Legislation, Statute of Repose</w:t>
      </w:r>
    </w:p>
    <w:p>
      <w:pPr>
        <w:keepNext w:val="0"/>
        <w:widowControl w:val="0"/>
        <w:spacing w:before="240" w:after="0" w:line="260" w:lineRule="atLeast"/>
        <w:ind w:left="0" w:right="0" w:firstLine="0"/>
        <w:jc w:val="both"/>
      </w:pPr>
      <w:bookmarkStart w:id="27" w:name="Bookmark_hnpara_7"/>
      <w:bookmarkEnd w:id="27"/>
      <w:r>
        <w:rPr>
          <w:rFonts w:ascii="arial" w:eastAsia="arial" w:hAnsi="arial" w:cs="arial"/>
          <w:b w:val="0"/>
          <w:i w:val="0"/>
          <w:strike w:val="0"/>
          <w:noProof w:val="0"/>
          <w:color w:val="000000"/>
          <w:position w:val="0"/>
          <w:sz w:val="20"/>
          <w:u w:val="none"/>
          <w:vertAlign w:val="baseline"/>
        </w:rPr>
        <w:t>The running of a statute of repose is usually triggered by something other than the accrual of the cause of action. A statute of limitations normally governs the time within which legal proceedings must be commenced after a cause of action accrues. A statute of repose, on the other hand, limits the time within which an action may be brought and is unrelated to the accrual of any cause of action.</w:t>
      </w:r>
    </w:p>
    <w:p>
      <w:pPr>
        <w:spacing w:before="120"/>
      </w:pPr>
      <w:bookmarkStart w:id="28" w:name="Bookmark_clscc8"/>
      <w:bookmarkEnd w:id="28"/>
    </w:p>
    <w:p>
      <w:pPr>
        <w:keepNext w:val="0"/>
        <w:widowControl w:val="0"/>
        <w:spacing w:before="240" w:after="0" w:line="260" w:lineRule="atLeast"/>
        <w:ind w:left="360" w:right="0" w:firstLine="0"/>
        <w:jc w:val="left"/>
      </w:pPr>
      <w:r>
        <w:rPr>
          <w:rFonts w:ascii="arial" w:eastAsia="arial" w:hAnsi="arial" w:cs="arial"/>
          <w:b w:val="0"/>
          <w:i w:val="0"/>
          <w:strike w:val="0"/>
          <w:noProof w:val="0"/>
          <w:color w:val="000000"/>
          <w:position w:val="0"/>
          <w:sz w:val="20"/>
          <w:u w:val="none"/>
          <w:vertAlign w:val="baseline"/>
        </w:rPr>
        <w:t>Healthcare Law &gt; Healthcare Litigation &gt; Actions Against Healthcare Workers &gt; General Overview</w:t>
      </w:r>
    </w:p>
    <w:p>
      <w:pPr>
        <w:keepNext w:val="0"/>
        <w:widowControl w:val="0"/>
        <w:spacing w:before="240" w:after="0" w:line="260" w:lineRule="atLeast"/>
        <w:ind w:left="360" w:right="0" w:firstLine="0"/>
        <w:jc w:val="left"/>
      </w:pPr>
      <w:r>
        <w:rPr>
          <w:rFonts w:ascii="arial" w:eastAsia="arial" w:hAnsi="arial" w:cs="arial"/>
          <w:b w:val="0"/>
          <w:i w:val="0"/>
          <w:strike w:val="0"/>
          <w:noProof w:val="0"/>
          <w:color w:val="000000"/>
          <w:position w:val="0"/>
          <w:sz w:val="20"/>
          <w:u w:val="none"/>
          <w:vertAlign w:val="baseline"/>
        </w:rPr>
        <w:t>Torts &gt; ... &gt; Statute of Limitations &gt; Tolling &gt; Discovery Rule</w:t>
      </w:r>
    </w:p>
    <w:p>
      <w:pPr>
        <w:keepNext w:val="0"/>
        <w:widowControl w:val="0"/>
        <w:spacing w:before="240" w:after="0" w:line="260" w:lineRule="atLeast"/>
        <w:ind w:left="360" w:right="0" w:firstLine="0"/>
        <w:jc w:val="left"/>
      </w:pPr>
      <w:r>
        <w:rPr>
          <w:rFonts w:ascii="arial" w:eastAsia="arial" w:hAnsi="arial" w:cs="arial"/>
          <w:b w:val="0"/>
          <w:i w:val="0"/>
          <w:strike w:val="0"/>
          <w:noProof w:val="0"/>
          <w:color w:val="000000"/>
          <w:position w:val="0"/>
          <w:sz w:val="20"/>
          <w:u w:val="none"/>
          <w:vertAlign w:val="baseline"/>
        </w:rPr>
        <w:t>Healthcare Law &gt; ... &gt; Actions Against Facilities &gt; Defenses &gt; Statute of Limitations</w:t>
      </w:r>
    </w:p>
    <w:p>
      <w:pPr>
        <w:keepNext w:val="0"/>
        <w:widowControl w:val="0"/>
        <w:spacing w:before="240" w:after="0" w:line="260" w:lineRule="atLeast"/>
        <w:ind w:left="360" w:right="0" w:firstLine="0"/>
        <w:jc w:val="left"/>
      </w:pPr>
      <w:r>
        <w:rPr>
          <w:rFonts w:ascii="arial" w:eastAsia="arial" w:hAnsi="arial" w:cs="arial"/>
          <w:b w:val="0"/>
          <w:i w:val="0"/>
          <w:strike w:val="0"/>
          <w:noProof w:val="0"/>
          <w:color w:val="000000"/>
          <w:position w:val="0"/>
          <w:sz w:val="20"/>
          <w:u w:val="none"/>
          <w:vertAlign w:val="baseline"/>
        </w:rPr>
        <w:t>Torts &gt; Malpractice &amp; Professional Liability &gt; Healthcare Providers</w:t>
      </w:r>
    </w:p>
    <w:p>
      <w:pPr>
        <w:keepNext w:val="0"/>
        <w:widowControl w:val="0"/>
        <w:spacing w:before="240" w:after="0" w:line="260" w:lineRule="atLeast"/>
        <w:ind w:left="360" w:right="0" w:firstLine="0"/>
        <w:jc w:val="left"/>
      </w:pPr>
      <w:r>
        <w:rPr>
          <w:rFonts w:ascii="arial" w:eastAsia="arial" w:hAnsi="arial" w:cs="arial"/>
          <w:b w:val="0"/>
          <w:i w:val="0"/>
          <w:strike w:val="0"/>
          <w:noProof w:val="0"/>
          <w:color w:val="000000"/>
          <w:position w:val="0"/>
          <w:sz w:val="20"/>
          <w:u w:val="none"/>
          <w:vertAlign w:val="baseline"/>
        </w:rPr>
        <w:t>Torts &gt; Procedural Matters &gt; Statute of Repose &gt; Professional Malpractice</w:t>
      </w:r>
    </w:p>
    <w:p>
      <w:pPr>
        <w:keepNext w:val="0"/>
        <w:widowControl w:val="0"/>
        <w:spacing w:before="240" w:after="0" w:line="260" w:lineRule="atLeast"/>
        <w:ind w:left="0" w:right="0" w:firstLine="0"/>
        <w:jc w:val="both"/>
      </w:pPr>
      <w:hyperlink r:id="rId25" w:history="1">
        <w:r>
          <w:rPr>
            <w:rFonts w:ascii="arial" w:eastAsia="arial" w:hAnsi="arial" w:cs="arial"/>
            <w:b/>
            <w:i/>
            <w:strike w:val="0"/>
            <w:color w:val="0077CC"/>
            <w:sz w:val="20"/>
            <w:u w:val="single"/>
            <w:shd w:val="clear" w:color="auto" w:fill="FFFFFF"/>
            <w:vertAlign w:val="baseline"/>
          </w:rPr>
          <w:t>HN8</w:t>
        </w:r>
      </w:hyperlink>
      <w:r>
        <w:rPr>
          <w:rFonts w:ascii="arial" w:eastAsia="arial" w:hAnsi="arial" w:cs="arial"/>
          <w:b w:val="0"/>
          <w:i w:val="0"/>
          <w:strike w:val="0"/>
          <w:noProof w:val="0"/>
          <w:color w:val="000000"/>
          <w:position w:val="0"/>
          <w:sz w:val="20"/>
          <w:u w:val="none"/>
          <w:vertAlign w:val="baseline"/>
        </w:rPr>
        <w:t>[</w:t>
      </w:r>
      <w:hyperlink w:anchor="Bookmark_LNHNREFclscc8" w:history="1">
        <w:r>
          <w:pict>
            <v:shape id="_x0000_i1035" type="#_x0000_t75" style="width:10.5pt;height:10.5pt">
              <v:imagedata r:id="rId16" o:title=""/>
            </v:shape>
          </w:pict>
        </w:r>
      </w:hyperlink>
      <w:r>
        <w:rPr>
          <w:rFonts w:ascii="arial" w:eastAsia="arial" w:hAnsi="arial" w:cs="arial"/>
          <w:b w:val="0"/>
          <w:i w:val="0"/>
          <w:strike w:val="0"/>
          <w:noProof w:val="0"/>
          <w:color w:val="000000"/>
          <w:position w:val="0"/>
          <w:sz w:val="20"/>
          <w:u w:val="none"/>
          <w:vertAlign w:val="baseline"/>
        </w:rPr>
        <w:t xml:space="preserve">] </w:t>
      </w:r>
      <w:r>
        <w:rPr>
          <w:rFonts w:ascii="arial" w:eastAsia="arial" w:hAnsi="arial" w:cs="arial"/>
          <w:b/>
          <w:i w:val="0"/>
          <w:strike w:val="0"/>
          <w:noProof w:val="0"/>
          <w:color w:val="000000"/>
          <w:position w:val="0"/>
          <w:sz w:val="20"/>
          <w:u w:val="none"/>
          <w:vertAlign w:val="baseline"/>
        </w:rPr>
        <w:t> Healthcare Litigation, Actions Against Healthcare Workers</w:t>
      </w:r>
    </w:p>
    <w:p>
      <w:pPr>
        <w:keepNext w:val="0"/>
        <w:widowControl w:val="0"/>
        <w:spacing w:before="240" w:after="0" w:line="260" w:lineRule="atLeast"/>
        <w:ind w:left="0" w:right="0" w:firstLine="0"/>
        <w:jc w:val="both"/>
      </w:pPr>
      <w:bookmarkStart w:id="29" w:name="Bookmark_hnpara_8"/>
      <w:bookmarkEnd w:id="29"/>
      <w:r>
        <w:rPr>
          <w:rFonts w:ascii="arial" w:eastAsia="arial" w:hAnsi="arial" w:cs="arial"/>
          <w:b w:val="0"/>
          <w:i w:val="0"/>
          <w:strike w:val="0"/>
          <w:noProof w:val="0"/>
          <w:color w:val="000000"/>
          <w:position w:val="0"/>
          <w:sz w:val="20"/>
          <w:u w:val="none"/>
          <w:vertAlign w:val="baseline"/>
        </w:rPr>
        <w:t xml:space="preserve">See </w:t>
      </w:r>
      <w:hyperlink r:id="rId26" w:history="1">
        <w:r>
          <w:rPr>
            <w:rFonts w:ascii="arial" w:eastAsia="arial" w:hAnsi="arial" w:cs="arial"/>
            <w:b w:val="0"/>
            <w:i/>
            <w:strike w:val="0"/>
            <w:noProof w:val="0"/>
            <w:color w:val="0077CC"/>
            <w:position w:val="0"/>
            <w:sz w:val="20"/>
            <w:u w:val="single"/>
            <w:shd w:val="clear" w:color="auto" w:fill="FFFFFF"/>
            <w:vertAlign w:val="baseline"/>
          </w:rPr>
          <w:t>Tenn. Code Ann. § 29-26-116</w:t>
        </w:r>
      </w:hyperlink>
      <w:r>
        <w:rPr>
          <w:rFonts w:ascii="arial" w:eastAsia="arial" w:hAnsi="arial" w:cs="arial"/>
          <w:b w:val="0"/>
          <w:i w:val="0"/>
          <w:strike w:val="0"/>
          <w:noProof w:val="0"/>
          <w:color w:val="000000"/>
          <w:position w:val="0"/>
          <w:sz w:val="20"/>
          <w:u w:val="none"/>
          <w:vertAlign w:val="baseline"/>
        </w:rPr>
        <w:t>.</w:t>
      </w:r>
    </w:p>
    <w:p>
      <w:pPr>
        <w:spacing w:before="120"/>
      </w:pPr>
      <w:bookmarkStart w:id="30" w:name="Bookmark_clscc9"/>
      <w:bookmarkEnd w:id="30"/>
    </w:p>
    <w:p>
      <w:pPr>
        <w:keepNext w:val="0"/>
        <w:widowControl w:val="0"/>
        <w:spacing w:before="240" w:after="0" w:line="260" w:lineRule="atLeast"/>
        <w:ind w:left="360" w:right="0" w:firstLine="0"/>
        <w:jc w:val="left"/>
      </w:pPr>
      <w:r>
        <w:rPr>
          <w:rFonts w:ascii="arial" w:eastAsia="arial" w:hAnsi="arial" w:cs="arial"/>
          <w:b w:val="0"/>
          <w:i w:val="0"/>
          <w:strike w:val="0"/>
          <w:noProof w:val="0"/>
          <w:color w:val="000000"/>
          <w:position w:val="0"/>
          <w:sz w:val="20"/>
          <w:u w:val="none"/>
          <w:vertAlign w:val="baseline"/>
        </w:rPr>
        <w:t>Torts &gt; ... &gt; Statute of Limitations &gt; Tolling &gt; Discovery Rule</w:t>
      </w:r>
    </w:p>
    <w:p>
      <w:pPr>
        <w:keepNext w:val="0"/>
        <w:widowControl w:val="0"/>
        <w:spacing w:before="240" w:after="0" w:line="260" w:lineRule="atLeast"/>
        <w:ind w:left="360" w:right="0" w:firstLine="0"/>
        <w:jc w:val="left"/>
      </w:pPr>
      <w:r>
        <w:rPr>
          <w:rFonts w:ascii="arial" w:eastAsia="arial" w:hAnsi="arial" w:cs="arial"/>
          <w:b w:val="0"/>
          <w:i w:val="0"/>
          <w:strike w:val="0"/>
          <w:noProof w:val="0"/>
          <w:color w:val="000000"/>
          <w:position w:val="0"/>
          <w:sz w:val="20"/>
          <w:u w:val="none"/>
          <w:vertAlign w:val="baseline"/>
        </w:rPr>
        <w:t>Torts &gt; Malpractice &amp; Professional Liability &gt; Healthcare Providers</w:t>
      </w:r>
    </w:p>
    <w:p>
      <w:pPr>
        <w:keepNext w:val="0"/>
        <w:widowControl w:val="0"/>
        <w:spacing w:before="240" w:after="0" w:line="260" w:lineRule="atLeast"/>
        <w:ind w:left="360" w:right="0" w:firstLine="0"/>
        <w:jc w:val="left"/>
      </w:pPr>
      <w:r>
        <w:rPr>
          <w:rFonts w:ascii="arial" w:eastAsia="arial" w:hAnsi="arial" w:cs="arial"/>
          <w:b w:val="0"/>
          <w:i w:val="0"/>
          <w:strike w:val="0"/>
          <w:noProof w:val="0"/>
          <w:color w:val="000000"/>
          <w:position w:val="0"/>
          <w:sz w:val="20"/>
          <w:u w:val="none"/>
          <w:vertAlign w:val="baseline"/>
        </w:rPr>
        <w:t>Torts &gt; Procedural Matters &gt; Statute of Repose &gt; Professional Malpractice</w:t>
      </w:r>
    </w:p>
    <w:p>
      <w:pPr>
        <w:keepNext w:val="0"/>
        <w:widowControl w:val="0"/>
        <w:spacing w:before="240" w:after="0" w:line="260" w:lineRule="atLeast"/>
        <w:ind w:left="0" w:right="0" w:firstLine="0"/>
        <w:jc w:val="both"/>
      </w:pPr>
      <w:hyperlink r:id="rId27" w:history="1">
        <w:r>
          <w:rPr>
            <w:rFonts w:ascii="arial" w:eastAsia="arial" w:hAnsi="arial" w:cs="arial"/>
            <w:b/>
            <w:i/>
            <w:strike w:val="0"/>
            <w:color w:val="0077CC"/>
            <w:sz w:val="20"/>
            <w:u w:val="single"/>
            <w:shd w:val="clear" w:color="auto" w:fill="FFFFFF"/>
            <w:vertAlign w:val="baseline"/>
          </w:rPr>
          <w:t>HN9</w:t>
        </w:r>
      </w:hyperlink>
      <w:r>
        <w:rPr>
          <w:rFonts w:ascii="arial" w:eastAsia="arial" w:hAnsi="arial" w:cs="arial"/>
          <w:b w:val="0"/>
          <w:i w:val="0"/>
          <w:strike w:val="0"/>
          <w:noProof w:val="0"/>
          <w:color w:val="000000"/>
          <w:position w:val="0"/>
          <w:sz w:val="20"/>
          <w:u w:val="none"/>
          <w:vertAlign w:val="baseline"/>
        </w:rPr>
        <w:t>[</w:t>
      </w:r>
      <w:hyperlink w:anchor="Bookmark_LNHNREFclscc9" w:history="1">
        <w:r>
          <w:pict>
            <v:shape id="_x0000_i1036" type="#_x0000_t75" style="width:10.5pt;height:10.5pt">
              <v:imagedata r:id="rId16" o:title=""/>
            </v:shape>
          </w:pict>
        </w:r>
      </w:hyperlink>
      <w:r>
        <w:rPr>
          <w:rFonts w:ascii="arial" w:eastAsia="arial" w:hAnsi="arial" w:cs="arial"/>
          <w:b w:val="0"/>
          <w:i w:val="0"/>
          <w:strike w:val="0"/>
          <w:noProof w:val="0"/>
          <w:color w:val="000000"/>
          <w:position w:val="0"/>
          <w:sz w:val="20"/>
          <w:u w:val="none"/>
          <w:vertAlign w:val="baseline"/>
        </w:rPr>
        <w:t xml:space="preserve">] </w:t>
      </w:r>
      <w:r>
        <w:rPr>
          <w:rFonts w:ascii="arial" w:eastAsia="arial" w:hAnsi="arial" w:cs="arial"/>
          <w:b/>
          <w:i w:val="0"/>
          <w:strike w:val="0"/>
          <w:noProof w:val="0"/>
          <w:color w:val="000000"/>
          <w:position w:val="0"/>
          <w:sz w:val="20"/>
          <w:u w:val="none"/>
          <w:vertAlign w:val="baseline"/>
        </w:rPr>
        <w:t> Tolling, Discovery Rule</w:t>
      </w:r>
    </w:p>
    <w:p>
      <w:pPr>
        <w:keepNext w:val="0"/>
        <w:widowControl w:val="0"/>
        <w:spacing w:before="240" w:after="0" w:line="260" w:lineRule="atLeast"/>
        <w:ind w:left="0" w:right="0" w:firstLine="0"/>
        <w:jc w:val="both"/>
      </w:pPr>
      <w:bookmarkStart w:id="31" w:name="Bookmark_hnpara_9"/>
      <w:bookmarkEnd w:id="31"/>
      <w:hyperlink r:id="rId28" w:history="1">
        <w:r>
          <w:rPr>
            <w:rFonts w:ascii="arial" w:eastAsia="arial" w:hAnsi="arial" w:cs="arial"/>
            <w:b w:val="0"/>
            <w:i/>
            <w:strike w:val="0"/>
            <w:color w:val="0077CC"/>
            <w:sz w:val="20"/>
            <w:u w:val="single"/>
            <w:shd w:val="clear" w:color="auto" w:fill="FFFFFF"/>
            <w:vertAlign w:val="baseline"/>
          </w:rPr>
          <w:t>Tenn. Code Ann. § 29-26-116(a)(2)</w:t>
        </w:r>
      </w:hyperlink>
      <w:r>
        <w:rPr>
          <w:rFonts w:ascii="arial" w:eastAsia="arial" w:hAnsi="arial" w:cs="arial"/>
          <w:b w:val="0"/>
          <w:i w:val="0"/>
          <w:strike w:val="0"/>
          <w:noProof w:val="0"/>
          <w:color w:val="000000"/>
          <w:position w:val="0"/>
          <w:sz w:val="20"/>
          <w:u w:val="none"/>
          <w:vertAlign w:val="baseline"/>
        </w:rPr>
        <w:t xml:space="preserve"> codifies the discovery doctrine in medical malpractice cases, while (a)(3) establishes a statue of repose, as well as an extension of the statute of repose where fraudulent concealment can be proved.</w:t>
      </w:r>
    </w:p>
    <w:p>
      <w:pPr>
        <w:spacing w:before="120"/>
      </w:pPr>
      <w:bookmarkStart w:id="32" w:name="Bookmark_clscc10"/>
      <w:bookmarkEnd w:id="32"/>
    </w:p>
    <w:p>
      <w:pPr>
        <w:keepNext w:val="0"/>
        <w:widowControl w:val="0"/>
        <w:spacing w:before="240" w:after="0" w:line="260" w:lineRule="atLeast"/>
        <w:ind w:left="360" w:right="0" w:firstLine="0"/>
        <w:jc w:val="left"/>
      </w:pPr>
      <w:r>
        <w:rPr>
          <w:rFonts w:ascii="arial" w:eastAsia="arial" w:hAnsi="arial" w:cs="arial"/>
          <w:b w:val="0"/>
          <w:i w:val="0"/>
          <w:strike w:val="0"/>
          <w:noProof w:val="0"/>
          <w:color w:val="000000"/>
          <w:position w:val="0"/>
          <w:sz w:val="20"/>
          <w:u w:val="none"/>
          <w:vertAlign w:val="baseline"/>
        </w:rPr>
        <w:t>Governments &gt; Legislation &gt; Statute of Limitations &gt; Tolling</w:t>
      </w:r>
    </w:p>
    <w:p>
      <w:pPr>
        <w:keepNext w:val="0"/>
        <w:widowControl w:val="0"/>
        <w:spacing w:before="240" w:after="0" w:line="260" w:lineRule="atLeast"/>
        <w:ind w:left="0" w:right="0" w:firstLine="0"/>
        <w:jc w:val="both"/>
      </w:pPr>
      <w:hyperlink r:id="rId29" w:history="1">
        <w:r>
          <w:rPr>
            <w:rFonts w:ascii="arial" w:eastAsia="arial" w:hAnsi="arial" w:cs="arial"/>
            <w:b/>
            <w:i/>
            <w:strike w:val="0"/>
            <w:color w:val="0077CC"/>
            <w:sz w:val="20"/>
            <w:u w:val="single"/>
            <w:shd w:val="clear" w:color="auto" w:fill="FFFFFF"/>
            <w:vertAlign w:val="baseline"/>
          </w:rPr>
          <w:t>HN10</w:t>
        </w:r>
      </w:hyperlink>
      <w:r>
        <w:rPr>
          <w:rFonts w:ascii="arial" w:eastAsia="arial" w:hAnsi="arial" w:cs="arial"/>
          <w:b w:val="0"/>
          <w:i w:val="0"/>
          <w:strike w:val="0"/>
          <w:noProof w:val="0"/>
          <w:color w:val="000000"/>
          <w:position w:val="0"/>
          <w:sz w:val="20"/>
          <w:u w:val="none"/>
          <w:vertAlign w:val="baseline"/>
        </w:rPr>
        <w:t>[</w:t>
      </w:r>
      <w:hyperlink w:anchor="Bookmark_LNHNREFclscc10" w:history="1">
        <w:r>
          <w:pict>
            <v:shape id="_x0000_i1037" type="#_x0000_t75" style="width:10.5pt;height:10.5pt">
              <v:imagedata r:id="rId16" o:title=""/>
            </v:shape>
          </w:pict>
        </w:r>
      </w:hyperlink>
      <w:r>
        <w:rPr>
          <w:rFonts w:ascii="arial" w:eastAsia="arial" w:hAnsi="arial" w:cs="arial"/>
          <w:b w:val="0"/>
          <w:i w:val="0"/>
          <w:strike w:val="0"/>
          <w:noProof w:val="0"/>
          <w:color w:val="000000"/>
          <w:position w:val="0"/>
          <w:sz w:val="20"/>
          <w:u w:val="none"/>
          <w:vertAlign w:val="baseline"/>
        </w:rPr>
        <w:t xml:space="preserve">] </w:t>
      </w:r>
      <w:r>
        <w:rPr>
          <w:rFonts w:ascii="arial" w:eastAsia="arial" w:hAnsi="arial" w:cs="arial"/>
          <w:b/>
          <w:i w:val="0"/>
          <w:strike w:val="0"/>
          <w:noProof w:val="0"/>
          <w:color w:val="000000"/>
          <w:position w:val="0"/>
          <w:sz w:val="20"/>
          <w:u w:val="none"/>
          <w:vertAlign w:val="baseline"/>
        </w:rPr>
        <w:t> Statute of Limitations, Tolling</w:t>
      </w:r>
    </w:p>
    <w:p>
      <w:pPr>
        <w:keepNext w:val="0"/>
        <w:widowControl w:val="0"/>
        <w:spacing w:before="240" w:after="0" w:line="260" w:lineRule="atLeast"/>
        <w:ind w:left="0" w:right="0" w:firstLine="0"/>
        <w:jc w:val="both"/>
      </w:pPr>
      <w:bookmarkStart w:id="33" w:name="Bookmark_hnpara_10"/>
      <w:bookmarkEnd w:id="33"/>
      <w:r>
        <w:rPr>
          <w:rFonts w:ascii="arial" w:eastAsia="arial" w:hAnsi="arial" w:cs="arial"/>
          <w:b w:val="0"/>
          <w:i w:val="0"/>
          <w:strike w:val="0"/>
          <w:noProof w:val="0"/>
          <w:color w:val="000000"/>
          <w:position w:val="0"/>
          <w:sz w:val="20"/>
          <w:u w:val="none"/>
          <w:vertAlign w:val="baseline"/>
        </w:rPr>
        <w:t xml:space="preserve">See </w:t>
      </w:r>
      <w:hyperlink r:id="rId30" w:history="1">
        <w:r>
          <w:rPr>
            <w:rFonts w:ascii="arial" w:eastAsia="arial" w:hAnsi="arial" w:cs="arial"/>
            <w:b w:val="0"/>
            <w:i/>
            <w:strike w:val="0"/>
            <w:noProof w:val="0"/>
            <w:color w:val="0077CC"/>
            <w:position w:val="0"/>
            <w:sz w:val="20"/>
            <w:u w:val="single"/>
            <w:shd w:val="clear" w:color="auto" w:fill="FFFFFF"/>
            <w:vertAlign w:val="baseline"/>
          </w:rPr>
          <w:t>Tenn. Code Ann. § 28-1-106</w:t>
        </w:r>
      </w:hyperlink>
      <w:r>
        <w:rPr>
          <w:rFonts w:ascii="arial" w:eastAsia="arial" w:hAnsi="arial" w:cs="arial"/>
          <w:b w:val="0"/>
          <w:i w:val="0"/>
          <w:strike w:val="0"/>
          <w:noProof w:val="0"/>
          <w:color w:val="000000"/>
          <w:position w:val="0"/>
          <w:sz w:val="20"/>
          <w:u w:val="none"/>
          <w:vertAlign w:val="baseline"/>
        </w:rPr>
        <w:t>.</w:t>
      </w:r>
    </w:p>
    <w:p>
      <w:pPr>
        <w:spacing w:before="120"/>
      </w:pPr>
      <w:bookmarkStart w:id="34" w:name="Bookmark_clscc11"/>
      <w:bookmarkEnd w:id="34"/>
    </w:p>
    <w:p>
      <w:pPr>
        <w:keepNext w:val="0"/>
        <w:widowControl w:val="0"/>
        <w:spacing w:before="240" w:after="0" w:line="260" w:lineRule="atLeast"/>
        <w:ind w:left="360" w:right="0" w:firstLine="0"/>
        <w:jc w:val="left"/>
      </w:pPr>
      <w:r>
        <w:rPr>
          <w:rFonts w:ascii="arial" w:eastAsia="arial" w:hAnsi="arial" w:cs="arial"/>
          <w:b w:val="0"/>
          <w:i w:val="0"/>
          <w:strike w:val="0"/>
          <w:noProof w:val="0"/>
          <w:color w:val="000000"/>
          <w:position w:val="0"/>
          <w:sz w:val="20"/>
          <w:u w:val="none"/>
          <w:vertAlign w:val="baseline"/>
        </w:rPr>
        <w:t>Governments &gt; Legislation &gt; Statute of Limitations &gt; Tolling</w:t>
      </w:r>
    </w:p>
    <w:p>
      <w:pPr>
        <w:keepNext w:val="0"/>
        <w:widowControl w:val="0"/>
        <w:spacing w:before="240" w:after="0" w:line="260" w:lineRule="atLeast"/>
        <w:ind w:left="0" w:right="0" w:firstLine="0"/>
        <w:jc w:val="both"/>
      </w:pPr>
      <w:hyperlink r:id="rId31" w:history="1">
        <w:r>
          <w:rPr>
            <w:rFonts w:ascii="arial" w:eastAsia="arial" w:hAnsi="arial" w:cs="arial"/>
            <w:b/>
            <w:i/>
            <w:strike w:val="0"/>
            <w:color w:val="0077CC"/>
            <w:sz w:val="20"/>
            <w:u w:val="single"/>
            <w:shd w:val="clear" w:color="auto" w:fill="FFFFFF"/>
            <w:vertAlign w:val="baseline"/>
          </w:rPr>
          <w:t>HN11</w:t>
        </w:r>
      </w:hyperlink>
      <w:r>
        <w:rPr>
          <w:rFonts w:ascii="arial" w:eastAsia="arial" w:hAnsi="arial" w:cs="arial"/>
          <w:b w:val="0"/>
          <w:i w:val="0"/>
          <w:strike w:val="0"/>
          <w:noProof w:val="0"/>
          <w:color w:val="000000"/>
          <w:position w:val="0"/>
          <w:sz w:val="20"/>
          <w:u w:val="none"/>
          <w:vertAlign w:val="baseline"/>
        </w:rPr>
        <w:t>[</w:t>
      </w:r>
      <w:hyperlink w:anchor="Bookmark_LNHNREFclscc11" w:history="1">
        <w:r>
          <w:pict>
            <v:shape id="_x0000_i1038" type="#_x0000_t75" style="width:10.5pt;height:10.5pt">
              <v:imagedata r:id="rId16" o:title=""/>
            </v:shape>
          </w:pict>
        </w:r>
      </w:hyperlink>
      <w:r>
        <w:rPr>
          <w:rFonts w:ascii="arial" w:eastAsia="arial" w:hAnsi="arial" w:cs="arial"/>
          <w:b w:val="0"/>
          <w:i w:val="0"/>
          <w:strike w:val="0"/>
          <w:noProof w:val="0"/>
          <w:color w:val="000000"/>
          <w:position w:val="0"/>
          <w:sz w:val="20"/>
          <w:u w:val="none"/>
          <w:vertAlign w:val="baseline"/>
        </w:rPr>
        <w:t xml:space="preserve">] </w:t>
      </w:r>
      <w:r>
        <w:rPr>
          <w:rFonts w:ascii="arial" w:eastAsia="arial" w:hAnsi="arial" w:cs="arial"/>
          <w:b/>
          <w:i w:val="0"/>
          <w:strike w:val="0"/>
          <w:noProof w:val="0"/>
          <w:color w:val="000000"/>
          <w:position w:val="0"/>
          <w:sz w:val="20"/>
          <w:u w:val="none"/>
          <w:vertAlign w:val="baseline"/>
        </w:rPr>
        <w:t> Statute of Limitations, Tolling</w:t>
      </w:r>
    </w:p>
    <w:p>
      <w:pPr>
        <w:keepNext w:val="0"/>
        <w:widowControl w:val="0"/>
        <w:spacing w:before="240" w:after="0" w:line="260" w:lineRule="atLeast"/>
        <w:ind w:left="0" w:right="0" w:firstLine="0"/>
        <w:jc w:val="both"/>
      </w:pPr>
      <w:bookmarkStart w:id="35" w:name="Bookmark_hnpara_11"/>
      <w:bookmarkEnd w:id="35"/>
      <w:r>
        <w:rPr>
          <w:rFonts w:ascii="arial" w:eastAsia="arial" w:hAnsi="arial" w:cs="arial"/>
          <w:b w:val="0"/>
          <w:i w:val="0"/>
          <w:strike w:val="0"/>
          <w:noProof w:val="0"/>
          <w:color w:val="000000"/>
          <w:position w:val="0"/>
          <w:sz w:val="20"/>
          <w:u w:val="none"/>
          <w:vertAlign w:val="baseline"/>
        </w:rPr>
        <w:t>Persons of unsound mind include those incapable of attending to any business or of taking care of themselves. The disability of unsound mind is removed when the individual is no longer of unsound mind, due to either a change in the individual's condition or the individual's death.</w:t>
      </w:r>
    </w:p>
    <w:p>
      <w:pPr>
        <w:spacing w:before="120"/>
      </w:pPr>
      <w:bookmarkStart w:id="36" w:name="Bookmark_clscc12"/>
      <w:bookmarkEnd w:id="36"/>
    </w:p>
    <w:p>
      <w:pPr>
        <w:keepNext w:val="0"/>
        <w:widowControl w:val="0"/>
        <w:spacing w:before="240" w:after="0" w:line="260" w:lineRule="atLeast"/>
        <w:ind w:left="360" w:right="0" w:firstLine="0"/>
        <w:jc w:val="left"/>
      </w:pPr>
      <w:r>
        <w:rPr>
          <w:rFonts w:ascii="arial" w:eastAsia="arial" w:hAnsi="arial" w:cs="arial"/>
          <w:b w:val="0"/>
          <w:i w:val="0"/>
          <w:strike w:val="0"/>
          <w:noProof w:val="0"/>
          <w:color w:val="000000"/>
          <w:position w:val="0"/>
          <w:sz w:val="20"/>
          <w:u w:val="none"/>
          <w:vertAlign w:val="baseline"/>
        </w:rPr>
        <w:t>Governments &gt; Legislation &gt; Statute of Limitations &gt; Tolling</w:t>
      </w:r>
    </w:p>
    <w:p>
      <w:pPr>
        <w:keepNext w:val="0"/>
        <w:widowControl w:val="0"/>
        <w:spacing w:before="240" w:after="0" w:line="260" w:lineRule="atLeast"/>
        <w:ind w:left="0" w:right="0" w:firstLine="0"/>
        <w:jc w:val="both"/>
      </w:pPr>
      <w:hyperlink r:id="rId32" w:history="1">
        <w:r>
          <w:rPr>
            <w:rFonts w:ascii="arial" w:eastAsia="arial" w:hAnsi="arial" w:cs="arial"/>
            <w:b/>
            <w:i/>
            <w:strike w:val="0"/>
            <w:color w:val="0077CC"/>
            <w:sz w:val="20"/>
            <w:u w:val="single"/>
            <w:shd w:val="clear" w:color="auto" w:fill="FFFFFF"/>
            <w:vertAlign w:val="baseline"/>
          </w:rPr>
          <w:t>HN12</w:t>
        </w:r>
      </w:hyperlink>
      <w:r>
        <w:rPr>
          <w:rFonts w:ascii="arial" w:eastAsia="arial" w:hAnsi="arial" w:cs="arial"/>
          <w:b w:val="0"/>
          <w:i w:val="0"/>
          <w:strike w:val="0"/>
          <w:noProof w:val="0"/>
          <w:color w:val="000000"/>
          <w:position w:val="0"/>
          <w:sz w:val="20"/>
          <w:u w:val="none"/>
          <w:vertAlign w:val="baseline"/>
        </w:rPr>
        <w:t>[</w:t>
      </w:r>
      <w:hyperlink w:anchor="Bookmark_LNHNREFclscc12" w:history="1">
        <w:r>
          <w:pict>
            <v:shape id="_x0000_i1039" type="#_x0000_t75" style="width:10.5pt;height:10.5pt">
              <v:imagedata r:id="rId16" o:title=""/>
            </v:shape>
          </w:pict>
        </w:r>
      </w:hyperlink>
      <w:r>
        <w:rPr>
          <w:rFonts w:ascii="arial" w:eastAsia="arial" w:hAnsi="arial" w:cs="arial"/>
          <w:b w:val="0"/>
          <w:i w:val="0"/>
          <w:strike w:val="0"/>
          <w:noProof w:val="0"/>
          <w:color w:val="000000"/>
          <w:position w:val="0"/>
          <w:sz w:val="20"/>
          <w:u w:val="none"/>
          <w:vertAlign w:val="baseline"/>
        </w:rPr>
        <w:t xml:space="preserve">] </w:t>
      </w:r>
      <w:r>
        <w:rPr>
          <w:rFonts w:ascii="arial" w:eastAsia="arial" w:hAnsi="arial" w:cs="arial"/>
          <w:b/>
          <w:i w:val="0"/>
          <w:strike w:val="0"/>
          <w:noProof w:val="0"/>
          <w:color w:val="000000"/>
          <w:position w:val="0"/>
          <w:sz w:val="20"/>
          <w:u w:val="none"/>
          <w:vertAlign w:val="baseline"/>
        </w:rPr>
        <w:t> Statute of Limitations, Tolling</w:t>
      </w:r>
    </w:p>
    <w:p>
      <w:pPr>
        <w:keepNext w:val="0"/>
        <w:widowControl w:val="0"/>
        <w:spacing w:before="240" w:after="0" w:line="260" w:lineRule="atLeast"/>
        <w:ind w:left="0" w:right="0" w:firstLine="0"/>
        <w:jc w:val="both"/>
      </w:pPr>
      <w:bookmarkStart w:id="37" w:name="Bookmark_hnpara_12"/>
      <w:bookmarkEnd w:id="37"/>
      <w:r>
        <w:rPr>
          <w:rFonts w:ascii="arial" w:eastAsia="arial" w:hAnsi="arial" w:cs="arial"/>
          <w:b w:val="0"/>
          <w:i w:val="0"/>
          <w:strike w:val="0"/>
          <w:noProof w:val="0"/>
          <w:color w:val="000000"/>
          <w:position w:val="0"/>
          <w:sz w:val="20"/>
          <w:u w:val="none"/>
          <w:vertAlign w:val="baseline"/>
        </w:rPr>
        <w:t xml:space="preserve">The person entitled to commence the action under </w:t>
      </w:r>
      <w:hyperlink r:id="rId33" w:history="1">
        <w:r>
          <w:rPr>
            <w:rFonts w:ascii="arial" w:eastAsia="arial" w:hAnsi="arial" w:cs="arial"/>
            <w:b w:val="0"/>
            <w:i/>
            <w:strike w:val="0"/>
            <w:noProof w:val="0"/>
            <w:color w:val="0077CC"/>
            <w:position w:val="0"/>
            <w:sz w:val="20"/>
            <w:u w:val="single"/>
            <w:shd w:val="clear" w:color="auto" w:fill="FFFFFF"/>
            <w:vertAlign w:val="baseline"/>
          </w:rPr>
          <w:t>Tenn. Code Ann. § 28-1-106</w:t>
        </w:r>
      </w:hyperlink>
      <w:r>
        <w:rPr>
          <w:rFonts w:ascii="arial" w:eastAsia="arial" w:hAnsi="arial" w:cs="arial"/>
          <w:b w:val="0"/>
          <w:i w:val="0"/>
          <w:strike w:val="0"/>
          <w:noProof w:val="0"/>
          <w:color w:val="000000"/>
          <w:position w:val="0"/>
          <w:sz w:val="20"/>
          <w:u w:val="none"/>
          <w:vertAlign w:val="baseline"/>
        </w:rPr>
        <w:t xml:space="preserve">, means the injured party, or the party to whom the claim belongs rather than the individual authorized to act for the party. The execution of a durable power of attorney does not remove the disability of the person entitled to commence the action for the purposes of </w:t>
      </w:r>
      <w:hyperlink r:id="rId34" w:history="1">
        <w:r>
          <w:rPr>
            <w:rFonts w:ascii="arial" w:eastAsia="arial" w:hAnsi="arial" w:cs="arial"/>
            <w:b w:val="0"/>
            <w:i/>
            <w:strike w:val="0"/>
            <w:noProof w:val="0"/>
            <w:color w:val="0077CC"/>
            <w:position w:val="0"/>
            <w:sz w:val="20"/>
            <w:u w:val="single"/>
            <w:shd w:val="clear" w:color="auto" w:fill="FFFFFF"/>
            <w:vertAlign w:val="baseline"/>
          </w:rPr>
          <w:t>Tenn. Code Ann. § 28-1-106</w:t>
        </w:r>
      </w:hyperlink>
      <w:r>
        <w:rPr>
          <w:rFonts w:ascii="arial" w:eastAsia="arial" w:hAnsi="arial" w:cs="arial"/>
          <w:b w:val="0"/>
          <w:i w:val="0"/>
          <w:strike w:val="0"/>
          <w:noProof w:val="0"/>
          <w:color w:val="000000"/>
          <w:position w:val="0"/>
          <w:sz w:val="20"/>
          <w:u w:val="none"/>
          <w:vertAlign w:val="baseline"/>
        </w:rPr>
        <w:t>.</w:t>
      </w:r>
    </w:p>
    <w:p>
      <w:pPr>
        <w:spacing w:before="120"/>
      </w:pPr>
      <w:bookmarkStart w:id="38" w:name="Bookmark_clscc13"/>
      <w:bookmarkEnd w:id="38"/>
    </w:p>
    <w:p>
      <w:pPr>
        <w:keepNext w:val="0"/>
        <w:widowControl w:val="0"/>
        <w:spacing w:before="240" w:after="0" w:line="260" w:lineRule="atLeast"/>
        <w:ind w:left="360" w:right="0" w:firstLine="0"/>
        <w:jc w:val="left"/>
      </w:pPr>
      <w:r>
        <w:rPr>
          <w:rFonts w:ascii="arial" w:eastAsia="arial" w:hAnsi="arial" w:cs="arial"/>
          <w:b w:val="0"/>
          <w:i w:val="0"/>
          <w:strike w:val="0"/>
          <w:noProof w:val="0"/>
          <w:color w:val="000000"/>
          <w:position w:val="0"/>
          <w:sz w:val="20"/>
          <w:u w:val="none"/>
          <w:vertAlign w:val="baseline"/>
        </w:rPr>
        <w:t>Governments &gt; Legislation &gt; Statute of Repose</w:t>
      </w:r>
    </w:p>
    <w:p>
      <w:pPr>
        <w:keepNext w:val="0"/>
        <w:widowControl w:val="0"/>
        <w:spacing w:before="240" w:after="0" w:line="260" w:lineRule="atLeast"/>
        <w:ind w:left="360" w:right="0" w:firstLine="0"/>
        <w:jc w:val="left"/>
      </w:pPr>
      <w:r>
        <w:rPr>
          <w:rFonts w:ascii="arial" w:eastAsia="arial" w:hAnsi="arial" w:cs="arial"/>
          <w:b w:val="0"/>
          <w:i w:val="0"/>
          <w:strike w:val="0"/>
          <w:noProof w:val="0"/>
          <w:color w:val="000000"/>
          <w:position w:val="0"/>
          <w:sz w:val="20"/>
          <w:u w:val="none"/>
          <w:vertAlign w:val="baseline"/>
        </w:rPr>
        <w:t>Torts &gt; Procedural Matters &gt; Statute of Repose &gt; Professional Malpractice</w:t>
      </w:r>
    </w:p>
    <w:p>
      <w:pPr>
        <w:keepNext w:val="0"/>
        <w:widowControl w:val="0"/>
        <w:spacing w:before="240" w:after="0" w:line="260" w:lineRule="atLeast"/>
        <w:ind w:left="0" w:right="0" w:firstLine="0"/>
        <w:jc w:val="both"/>
      </w:pPr>
      <w:hyperlink r:id="rId35" w:history="1">
        <w:r>
          <w:rPr>
            <w:rFonts w:ascii="arial" w:eastAsia="arial" w:hAnsi="arial" w:cs="arial"/>
            <w:b/>
            <w:i/>
            <w:strike w:val="0"/>
            <w:color w:val="0077CC"/>
            <w:sz w:val="20"/>
            <w:u w:val="single"/>
            <w:shd w:val="clear" w:color="auto" w:fill="FFFFFF"/>
            <w:vertAlign w:val="baseline"/>
          </w:rPr>
          <w:t>HN13</w:t>
        </w:r>
      </w:hyperlink>
      <w:r>
        <w:rPr>
          <w:rFonts w:ascii="arial" w:eastAsia="arial" w:hAnsi="arial" w:cs="arial"/>
          <w:b w:val="0"/>
          <w:i w:val="0"/>
          <w:strike w:val="0"/>
          <w:noProof w:val="0"/>
          <w:color w:val="000000"/>
          <w:position w:val="0"/>
          <w:sz w:val="20"/>
          <w:u w:val="none"/>
          <w:vertAlign w:val="baseline"/>
        </w:rPr>
        <w:t>[</w:t>
      </w:r>
      <w:hyperlink w:anchor="Bookmark_LNHNREFclscc13" w:history="1">
        <w:r>
          <w:pict>
            <v:shape id="_x0000_i1040" type="#_x0000_t75" style="width:10.5pt;height:10.5pt">
              <v:imagedata r:id="rId16" o:title=""/>
            </v:shape>
          </w:pict>
        </w:r>
      </w:hyperlink>
      <w:r>
        <w:rPr>
          <w:rFonts w:ascii="arial" w:eastAsia="arial" w:hAnsi="arial" w:cs="arial"/>
          <w:b w:val="0"/>
          <w:i w:val="0"/>
          <w:strike w:val="0"/>
          <w:noProof w:val="0"/>
          <w:color w:val="000000"/>
          <w:position w:val="0"/>
          <w:sz w:val="20"/>
          <w:u w:val="none"/>
          <w:vertAlign w:val="baseline"/>
        </w:rPr>
        <w:t xml:space="preserve">] </w:t>
      </w:r>
      <w:r>
        <w:rPr>
          <w:rFonts w:ascii="arial" w:eastAsia="arial" w:hAnsi="arial" w:cs="arial"/>
          <w:b/>
          <w:i w:val="0"/>
          <w:strike w:val="0"/>
          <w:noProof w:val="0"/>
          <w:color w:val="000000"/>
          <w:position w:val="0"/>
          <w:sz w:val="20"/>
          <w:u w:val="none"/>
          <w:vertAlign w:val="baseline"/>
        </w:rPr>
        <w:t> Legislation, Statute of Repose</w:t>
      </w:r>
    </w:p>
    <w:p>
      <w:pPr>
        <w:keepNext w:val="0"/>
        <w:widowControl w:val="0"/>
        <w:spacing w:before="240" w:after="0" w:line="260" w:lineRule="atLeast"/>
        <w:ind w:left="0" w:right="0" w:firstLine="0"/>
        <w:jc w:val="both"/>
      </w:pPr>
      <w:bookmarkStart w:id="39" w:name="Bookmark_hnpara_13"/>
      <w:bookmarkEnd w:id="39"/>
      <w:r>
        <w:rPr>
          <w:rFonts w:ascii="arial" w:eastAsia="arial" w:hAnsi="arial" w:cs="arial"/>
          <w:b w:val="0"/>
          <w:i w:val="0"/>
          <w:strike w:val="0"/>
          <w:noProof w:val="0"/>
          <w:color w:val="000000"/>
          <w:position w:val="0"/>
          <w:sz w:val="20"/>
          <w:u w:val="none"/>
          <w:vertAlign w:val="baseline"/>
        </w:rPr>
        <w:t xml:space="preserve">A statute of repose is meant to impose an absolute ceiling on the time within which a claim may be brought, and it operates independently of the date on which the cause of action is deemed to have accrued. The three year statute of repose for medical malpractice at </w:t>
      </w:r>
      <w:hyperlink r:id="rId36" w:history="1">
        <w:r>
          <w:rPr>
            <w:rFonts w:ascii="arial" w:eastAsia="arial" w:hAnsi="arial" w:cs="arial"/>
            <w:b w:val="0"/>
            <w:i/>
            <w:strike w:val="0"/>
            <w:noProof w:val="0"/>
            <w:color w:val="0077CC"/>
            <w:position w:val="0"/>
            <w:sz w:val="20"/>
            <w:u w:val="single"/>
            <w:shd w:val="clear" w:color="auto" w:fill="FFFFFF"/>
            <w:vertAlign w:val="baseline"/>
          </w:rPr>
          <w:t>Tenn. Code Ann. § 29-26-115(a)(3)</w:t>
        </w:r>
      </w:hyperlink>
      <w:r>
        <w:rPr>
          <w:rFonts w:ascii="arial" w:eastAsia="arial" w:hAnsi="arial" w:cs="arial"/>
          <w:b w:val="0"/>
          <w:i w:val="0"/>
          <w:strike w:val="0"/>
          <w:noProof w:val="0"/>
          <w:color w:val="000000"/>
          <w:position w:val="0"/>
          <w:sz w:val="20"/>
          <w:u w:val="none"/>
          <w:vertAlign w:val="baseline"/>
        </w:rPr>
        <w:t xml:space="preserve"> does not begin to run upon the date of discovery of the injury, but rather upon the date of the allegedly negligent act.</w:t>
      </w:r>
    </w:p>
    <w:p>
      <w:pPr>
        <w:spacing w:before="120"/>
      </w:pPr>
      <w:bookmarkStart w:id="40" w:name="Bookmark_clscc14"/>
      <w:bookmarkEnd w:id="40"/>
    </w:p>
    <w:p>
      <w:pPr>
        <w:keepNext w:val="0"/>
        <w:widowControl w:val="0"/>
        <w:spacing w:before="240" w:after="0" w:line="260" w:lineRule="atLeast"/>
        <w:ind w:left="360" w:right="0" w:firstLine="0"/>
        <w:jc w:val="left"/>
      </w:pPr>
      <w:r>
        <w:rPr>
          <w:rFonts w:ascii="arial" w:eastAsia="arial" w:hAnsi="arial" w:cs="arial"/>
          <w:b w:val="0"/>
          <w:i w:val="0"/>
          <w:strike w:val="0"/>
          <w:noProof w:val="0"/>
          <w:color w:val="000000"/>
          <w:position w:val="0"/>
          <w:sz w:val="20"/>
          <w:u w:val="none"/>
          <w:vertAlign w:val="baseline"/>
        </w:rPr>
        <w:t>Civil Procedure &gt; Appeals &gt; Reviewability of Lower Court Decisions &gt; Preservation for Review</w:t>
      </w:r>
    </w:p>
    <w:p>
      <w:pPr>
        <w:keepNext w:val="0"/>
        <w:widowControl w:val="0"/>
        <w:spacing w:before="240" w:after="0" w:line="260" w:lineRule="atLeast"/>
        <w:ind w:left="0" w:right="0" w:firstLine="0"/>
        <w:jc w:val="both"/>
      </w:pPr>
      <w:hyperlink r:id="rId37" w:history="1">
        <w:r>
          <w:rPr>
            <w:rFonts w:ascii="arial" w:eastAsia="arial" w:hAnsi="arial" w:cs="arial"/>
            <w:b/>
            <w:i/>
            <w:strike w:val="0"/>
            <w:color w:val="0077CC"/>
            <w:sz w:val="20"/>
            <w:u w:val="single"/>
            <w:shd w:val="clear" w:color="auto" w:fill="FFFFFF"/>
            <w:vertAlign w:val="baseline"/>
          </w:rPr>
          <w:t>HN14</w:t>
        </w:r>
      </w:hyperlink>
      <w:r>
        <w:rPr>
          <w:rFonts w:ascii="arial" w:eastAsia="arial" w:hAnsi="arial" w:cs="arial"/>
          <w:b w:val="0"/>
          <w:i w:val="0"/>
          <w:strike w:val="0"/>
          <w:noProof w:val="0"/>
          <w:color w:val="000000"/>
          <w:position w:val="0"/>
          <w:sz w:val="20"/>
          <w:u w:val="none"/>
          <w:vertAlign w:val="baseline"/>
        </w:rPr>
        <w:t>[</w:t>
      </w:r>
      <w:hyperlink w:anchor="Bookmark_LNHNREFclscc14" w:history="1">
        <w:r>
          <w:pict>
            <v:shape id="_x0000_i1041" type="#_x0000_t75" style="width:10.5pt;height:10.5pt">
              <v:imagedata r:id="rId16" o:title=""/>
            </v:shape>
          </w:pict>
        </w:r>
      </w:hyperlink>
      <w:r>
        <w:rPr>
          <w:rFonts w:ascii="arial" w:eastAsia="arial" w:hAnsi="arial" w:cs="arial"/>
          <w:b w:val="0"/>
          <w:i w:val="0"/>
          <w:strike w:val="0"/>
          <w:noProof w:val="0"/>
          <w:color w:val="000000"/>
          <w:position w:val="0"/>
          <w:sz w:val="20"/>
          <w:u w:val="none"/>
          <w:vertAlign w:val="baseline"/>
        </w:rPr>
        <w:t xml:space="preserve">] </w:t>
      </w:r>
      <w:r>
        <w:rPr>
          <w:rFonts w:ascii="arial" w:eastAsia="arial" w:hAnsi="arial" w:cs="arial"/>
          <w:b/>
          <w:i w:val="0"/>
          <w:strike w:val="0"/>
          <w:noProof w:val="0"/>
          <w:color w:val="000000"/>
          <w:position w:val="0"/>
          <w:sz w:val="20"/>
          <w:u w:val="none"/>
          <w:vertAlign w:val="baseline"/>
        </w:rPr>
        <w:t> Reviewability of Lower Court Decisions, Preservation for Review</w:t>
      </w:r>
    </w:p>
    <w:p>
      <w:pPr>
        <w:keepNext w:val="0"/>
        <w:widowControl w:val="0"/>
        <w:spacing w:before="240" w:after="0" w:line="260" w:lineRule="atLeast"/>
        <w:ind w:left="0" w:right="0" w:firstLine="0"/>
        <w:jc w:val="both"/>
      </w:pPr>
      <w:bookmarkStart w:id="41" w:name="Bookmark_hnpara_14"/>
      <w:bookmarkEnd w:id="41"/>
      <w:r>
        <w:rPr>
          <w:rFonts w:ascii="arial" w:eastAsia="arial" w:hAnsi="arial" w:cs="arial"/>
          <w:b w:val="0"/>
          <w:i w:val="0"/>
          <w:strike w:val="0"/>
          <w:noProof w:val="0"/>
          <w:color w:val="000000"/>
          <w:position w:val="0"/>
          <w:sz w:val="20"/>
          <w:u w:val="none"/>
          <w:vertAlign w:val="baseline"/>
        </w:rPr>
        <w:t xml:space="preserve">Under </w:t>
      </w:r>
      <w:hyperlink r:id="rId38" w:history="1">
        <w:r>
          <w:rPr>
            <w:rFonts w:ascii="arial" w:eastAsia="arial" w:hAnsi="arial" w:cs="arial"/>
            <w:b w:val="0"/>
            <w:i/>
            <w:strike w:val="0"/>
            <w:noProof w:val="0"/>
            <w:color w:val="0077CC"/>
            <w:position w:val="0"/>
            <w:sz w:val="20"/>
            <w:u w:val="single"/>
            <w:shd w:val="clear" w:color="auto" w:fill="FFFFFF"/>
            <w:vertAlign w:val="baseline"/>
          </w:rPr>
          <w:t>Tenn. R. App. P. Rule 36</w:t>
        </w:r>
      </w:hyperlink>
      <w:r>
        <w:rPr>
          <w:rFonts w:ascii="arial" w:eastAsia="arial" w:hAnsi="arial" w:cs="arial"/>
          <w:b w:val="0"/>
          <w:i w:val="0"/>
          <w:strike w:val="0"/>
          <w:noProof w:val="0"/>
          <w:color w:val="000000"/>
          <w:position w:val="0"/>
          <w:sz w:val="20"/>
          <w:u w:val="none"/>
          <w:vertAlign w:val="baseline"/>
        </w:rPr>
        <w:t>, an appellate court is not required to grant relief to a party responsible for an error or who failed to take whatever action was reasonably available to prevent or nullify the harmful effect of an error. Thus, appellate courts will generally decline to consider issues that were not raised first in the trial court.</w:t>
      </w:r>
    </w:p>
    <w:p>
      <w:pPr>
        <w:spacing w:before="120"/>
      </w:pPr>
      <w:bookmarkStart w:id="42" w:name="Bookmark_clscc15"/>
      <w:bookmarkEnd w:id="42"/>
    </w:p>
    <w:p>
      <w:pPr>
        <w:keepNext w:val="0"/>
        <w:widowControl w:val="0"/>
        <w:spacing w:before="240" w:after="0" w:line="260" w:lineRule="atLeast"/>
        <w:ind w:left="360" w:right="0" w:firstLine="0"/>
        <w:jc w:val="left"/>
      </w:pPr>
      <w:r>
        <w:rPr>
          <w:rFonts w:ascii="arial" w:eastAsia="arial" w:hAnsi="arial" w:cs="arial"/>
          <w:b w:val="0"/>
          <w:i w:val="0"/>
          <w:strike w:val="0"/>
          <w:noProof w:val="0"/>
          <w:color w:val="000000"/>
          <w:position w:val="0"/>
          <w:sz w:val="20"/>
          <w:u w:val="none"/>
          <w:vertAlign w:val="baseline"/>
        </w:rPr>
        <w:t>Healthcare Law &gt; ... &gt; Actions Against Facilities &gt; Defenses &gt; General Overview</w:t>
      </w:r>
    </w:p>
    <w:p>
      <w:pPr>
        <w:keepNext w:val="0"/>
        <w:widowControl w:val="0"/>
        <w:spacing w:before="240" w:after="0" w:line="260" w:lineRule="atLeast"/>
        <w:ind w:left="360" w:right="0" w:firstLine="0"/>
        <w:jc w:val="left"/>
      </w:pPr>
      <w:r>
        <w:rPr>
          <w:rFonts w:ascii="arial" w:eastAsia="arial" w:hAnsi="arial" w:cs="arial"/>
          <w:b w:val="0"/>
          <w:i w:val="0"/>
          <w:strike w:val="0"/>
          <w:noProof w:val="0"/>
          <w:color w:val="000000"/>
          <w:position w:val="0"/>
          <w:sz w:val="20"/>
          <w:u w:val="none"/>
          <w:vertAlign w:val="baseline"/>
        </w:rPr>
        <w:t>Torts &gt; Malpractice &amp; Professional Liability &gt; Healthcare Providers</w:t>
      </w:r>
    </w:p>
    <w:p>
      <w:pPr>
        <w:keepNext w:val="0"/>
        <w:widowControl w:val="0"/>
        <w:spacing w:before="240" w:after="0" w:line="260" w:lineRule="atLeast"/>
        <w:ind w:left="360" w:right="0" w:firstLine="0"/>
        <w:jc w:val="left"/>
      </w:pPr>
      <w:r>
        <w:rPr>
          <w:rFonts w:ascii="arial" w:eastAsia="arial" w:hAnsi="arial" w:cs="arial"/>
          <w:b w:val="0"/>
          <w:i w:val="0"/>
          <w:strike w:val="0"/>
          <w:noProof w:val="0"/>
          <w:color w:val="000000"/>
          <w:position w:val="0"/>
          <w:sz w:val="20"/>
          <w:u w:val="none"/>
          <w:vertAlign w:val="baseline"/>
        </w:rPr>
        <w:t>Healthcare Law &gt; Healthcare Litigation &gt; Actions Against Healthcare Workers &gt; General Overview</w:t>
      </w:r>
    </w:p>
    <w:p>
      <w:pPr>
        <w:keepNext w:val="0"/>
        <w:widowControl w:val="0"/>
        <w:spacing w:before="240" w:after="0" w:line="260" w:lineRule="atLeast"/>
        <w:ind w:left="360" w:right="0" w:firstLine="0"/>
        <w:jc w:val="left"/>
      </w:pPr>
      <w:r>
        <w:rPr>
          <w:rFonts w:ascii="arial" w:eastAsia="arial" w:hAnsi="arial" w:cs="arial"/>
          <w:b w:val="0"/>
          <w:i w:val="0"/>
          <w:strike w:val="0"/>
          <w:noProof w:val="0"/>
          <w:color w:val="000000"/>
          <w:position w:val="0"/>
          <w:sz w:val="20"/>
          <w:u w:val="none"/>
          <w:vertAlign w:val="baseline"/>
        </w:rPr>
        <w:t>Torts &gt; Procedural Matters &gt; Statute of Repose &gt; Professional Malpractice</w:t>
      </w:r>
    </w:p>
    <w:p>
      <w:pPr>
        <w:keepNext w:val="0"/>
        <w:widowControl w:val="0"/>
        <w:spacing w:before="240" w:after="0" w:line="260" w:lineRule="atLeast"/>
        <w:ind w:left="0" w:right="0" w:firstLine="0"/>
        <w:jc w:val="both"/>
      </w:pPr>
      <w:hyperlink r:id="rId39" w:history="1">
        <w:r>
          <w:rPr>
            <w:rFonts w:ascii="arial" w:eastAsia="arial" w:hAnsi="arial" w:cs="arial"/>
            <w:b/>
            <w:i/>
            <w:strike w:val="0"/>
            <w:color w:val="0077CC"/>
            <w:sz w:val="20"/>
            <w:u w:val="single"/>
            <w:shd w:val="clear" w:color="auto" w:fill="FFFFFF"/>
            <w:vertAlign w:val="baseline"/>
          </w:rPr>
          <w:t>HN15</w:t>
        </w:r>
      </w:hyperlink>
      <w:r>
        <w:rPr>
          <w:rFonts w:ascii="arial" w:eastAsia="arial" w:hAnsi="arial" w:cs="arial"/>
          <w:b w:val="0"/>
          <w:i w:val="0"/>
          <w:strike w:val="0"/>
          <w:noProof w:val="0"/>
          <w:color w:val="000000"/>
          <w:position w:val="0"/>
          <w:sz w:val="20"/>
          <w:u w:val="none"/>
          <w:vertAlign w:val="baseline"/>
        </w:rPr>
        <w:t>[</w:t>
      </w:r>
      <w:hyperlink w:anchor="Bookmark_LNHNREFclscc15" w:history="1">
        <w:r>
          <w:pict>
            <v:shape id="_x0000_i1042" type="#_x0000_t75" style="width:10.5pt;height:10.5pt">
              <v:imagedata r:id="rId16" o:title=""/>
            </v:shape>
          </w:pict>
        </w:r>
      </w:hyperlink>
      <w:r>
        <w:rPr>
          <w:rFonts w:ascii="arial" w:eastAsia="arial" w:hAnsi="arial" w:cs="arial"/>
          <w:b w:val="0"/>
          <w:i w:val="0"/>
          <w:strike w:val="0"/>
          <w:noProof w:val="0"/>
          <w:color w:val="000000"/>
          <w:position w:val="0"/>
          <w:sz w:val="20"/>
          <w:u w:val="none"/>
          <w:vertAlign w:val="baseline"/>
        </w:rPr>
        <w:t xml:space="preserve">] </w:t>
      </w:r>
      <w:r>
        <w:rPr>
          <w:rFonts w:ascii="arial" w:eastAsia="arial" w:hAnsi="arial" w:cs="arial"/>
          <w:b/>
          <w:i w:val="0"/>
          <w:strike w:val="0"/>
          <w:noProof w:val="0"/>
          <w:color w:val="000000"/>
          <w:position w:val="0"/>
          <w:sz w:val="20"/>
          <w:u w:val="none"/>
          <w:vertAlign w:val="baseline"/>
        </w:rPr>
        <w:t> Actions Against Facilities, Defenses</w:t>
      </w:r>
    </w:p>
    <w:p>
      <w:pPr>
        <w:keepNext w:val="0"/>
        <w:widowControl w:val="0"/>
        <w:spacing w:before="240" w:after="0" w:line="260" w:lineRule="atLeast"/>
        <w:ind w:left="0" w:right="0" w:firstLine="0"/>
        <w:jc w:val="both"/>
      </w:pPr>
      <w:bookmarkStart w:id="43" w:name="Bookmark_hnpara_15"/>
      <w:bookmarkEnd w:id="43"/>
      <w:r>
        <w:rPr>
          <w:rFonts w:ascii="arial" w:eastAsia="arial" w:hAnsi="arial" w:cs="arial"/>
          <w:b w:val="0"/>
          <w:i w:val="0"/>
          <w:strike w:val="0"/>
          <w:noProof w:val="0"/>
          <w:color w:val="000000"/>
          <w:position w:val="0"/>
          <w:sz w:val="20"/>
          <w:u w:val="none"/>
          <w:vertAlign w:val="baseline"/>
        </w:rPr>
        <w:t xml:space="preserve">The statute of repose for medical malpractice and for medical battery, as well, is three years, although </w:t>
      </w:r>
      <w:hyperlink r:id="rId40" w:history="1">
        <w:r>
          <w:rPr>
            <w:rFonts w:ascii="arial" w:eastAsia="arial" w:hAnsi="arial" w:cs="arial"/>
            <w:b w:val="0"/>
            <w:i/>
            <w:strike w:val="0"/>
            <w:noProof w:val="0"/>
            <w:color w:val="0077CC"/>
            <w:position w:val="0"/>
            <w:sz w:val="20"/>
            <w:u w:val="single"/>
            <w:shd w:val="clear" w:color="auto" w:fill="FFFFFF"/>
            <w:vertAlign w:val="baseline"/>
          </w:rPr>
          <w:t>Tenn. Code Ann. § 29-26-116(a)(3)</w:t>
        </w:r>
      </w:hyperlink>
      <w:r>
        <w:rPr>
          <w:rFonts w:ascii="arial" w:eastAsia="arial" w:hAnsi="arial" w:cs="arial"/>
          <w:b w:val="0"/>
          <w:i w:val="0"/>
          <w:strike w:val="0"/>
          <w:noProof w:val="0"/>
          <w:color w:val="000000"/>
          <w:position w:val="0"/>
          <w:sz w:val="20"/>
          <w:u w:val="none"/>
          <w:vertAlign w:val="baseline"/>
        </w:rPr>
        <w:t xml:space="preserve"> allows for its extension in cases involving fraudulent concealment.</w:t>
      </w:r>
    </w:p>
    <w:p>
      <w:pPr>
        <w:spacing w:before="120"/>
      </w:pPr>
      <w:bookmarkStart w:id="44" w:name="Bookmark_clscc16"/>
      <w:bookmarkEnd w:id="44"/>
    </w:p>
    <w:p>
      <w:pPr>
        <w:keepNext w:val="0"/>
        <w:widowControl w:val="0"/>
        <w:spacing w:before="240" w:after="0" w:line="260" w:lineRule="atLeast"/>
        <w:ind w:left="360" w:right="0" w:firstLine="0"/>
        <w:jc w:val="left"/>
      </w:pPr>
      <w:r>
        <w:rPr>
          <w:rFonts w:ascii="arial" w:eastAsia="arial" w:hAnsi="arial" w:cs="arial"/>
          <w:b w:val="0"/>
          <w:i w:val="0"/>
          <w:strike w:val="0"/>
          <w:noProof w:val="0"/>
          <w:color w:val="000000"/>
          <w:position w:val="0"/>
          <w:sz w:val="20"/>
          <w:u w:val="none"/>
          <w:vertAlign w:val="baseline"/>
        </w:rPr>
        <w:t>Healthcare Law &gt; Healthcare Litigation &gt; Actions Against Facilities &gt; General Overview</w:t>
      </w:r>
    </w:p>
    <w:p>
      <w:pPr>
        <w:keepNext w:val="0"/>
        <w:widowControl w:val="0"/>
        <w:spacing w:before="240" w:after="0" w:line="260" w:lineRule="atLeast"/>
        <w:ind w:left="360" w:right="0" w:firstLine="0"/>
        <w:jc w:val="left"/>
      </w:pPr>
      <w:r>
        <w:rPr>
          <w:rFonts w:ascii="arial" w:eastAsia="arial" w:hAnsi="arial" w:cs="arial"/>
          <w:b w:val="0"/>
          <w:i w:val="0"/>
          <w:strike w:val="0"/>
          <w:noProof w:val="0"/>
          <w:color w:val="000000"/>
          <w:position w:val="0"/>
          <w:sz w:val="20"/>
          <w:u w:val="none"/>
          <w:vertAlign w:val="baseline"/>
        </w:rPr>
        <w:t>Torts &gt; Malpractice &amp; Professional Liability &gt; Healthcare Providers</w:t>
      </w:r>
    </w:p>
    <w:p>
      <w:pPr>
        <w:keepNext w:val="0"/>
        <w:widowControl w:val="0"/>
        <w:spacing w:before="240" w:after="0" w:line="260" w:lineRule="atLeast"/>
        <w:ind w:left="360" w:right="0" w:firstLine="0"/>
        <w:jc w:val="left"/>
      </w:pPr>
      <w:r>
        <w:rPr>
          <w:rFonts w:ascii="arial" w:eastAsia="arial" w:hAnsi="arial" w:cs="arial"/>
          <w:b w:val="0"/>
          <w:i w:val="0"/>
          <w:strike w:val="0"/>
          <w:noProof w:val="0"/>
          <w:color w:val="000000"/>
          <w:position w:val="0"/>
          <w:sz w:val="20"/>
          <w:u w:val="none"/>
          <w:vertAlign w:val="baseline"/>
        </w:rPr>
        <w:t>Healthcare Law &gt; Healthcare Litigation &gt; Actions Against Healthcare Workers &gt; General Overview</w:t>
      </w:r>
    </w:p>
    <w:p>
      <w:pPr>
        <w:keepNext w:val="0"/>
        <w:widowControl w:val="0"/>
        <w:spacing w:before="240" w:after="0" w:line="260" w:lineRule="atLeast"/>
        <w:ind w:left="0" w:right="0" w:firstLine="0"/>
        <w:jc w:val="both"/>
      </w:pPr>
      <w:hyperlink r:id="rId41" w:history="1">
        <w:r>
          <w:rPr>
            <w:rFonts w:ascii="arial" w:eastAsia="arial" w:hAnsi="arial" w:cs="arial"/>
            <w:b/>
            <w:i/>
            <w:strike w:val="0"/>
            <w:color w:val="0077CC"/>
            <w:sz w:val="20"/>
            <w:u w:val="single"/>
            <w:shd w:val="clear" w:color="auto" w:fill="FFFFFF"/>
            <w:vertAlign w:val="baseline"/>
          </w:rPr>
          <w:t>HN16</w:t>
        </w:r>
      </w:hyperlink>
      <w:r>
        <w:rPr>
          <w:rFonts w:ascii="arial" w:eastAsia="arial" w:hAnsi="arial" w:cs="arial"/>
          <w:b w:val="0"/>
          <w:i w:val="0"/>
          <w:strike w:val="0"/>
          <w:noProof w:val="0"/>
          <w:color w:val="000000"/>
          <w:position w:val="0"/>
          <w:sz w:val="20"/>
          <w:u w:val="none"/>
          <w:vertAlign w:val="baseline"/>
        </w:rPr>
        <w:t>[</w:t>
      </w:r>
      <w:hyperlink w:anchor="Bookmark_LNHNREFclscc16" w:history="1">
        <w:r>
          <w:pict>
            <v:shape id="_x0000_i1043" type="#_x0000_t75" style="width:10.5pt;height:10.5pt">
              <v:imagedata r:id="rId16" o:title=""/>
            </v:shape>
          </w:pict>
        </w:r>
      </w:hyperlink>
      <w:r>
        <w:rPr>
          <w:rFonts w:ascii="arial" w:eastAsia="arial" w:hAnsi="arial" w:cs="arial"/>
          <w:b w:val="0"/>
          <w:i w:val="0"/>
          <w:strike w:val="0"/>
          <w:noProof w:val="0"/>
          <w:color w:val="000000"/>
          <w:position w:val="0"/>
          <w:sz w:val="20"/>
          <w:u w:val="none"/>
          <w:vertAlign w:val="baseline"/>
        </w:rPr>
        <w:t xml:space="preserve">] </w:t>
      </w:r>
      <w:r>
        <w:rPr>
          <w:rFonts w:ascii="arial" w:eastAsia="arial" w:hAnsi="arial" w:cs="arial"/>
          <w:b/>
          <w:i w:val="0"/>
          <w:strike w:val="0"/>
          <w:noProof w:val="0"/>
          <w:color w:val="000000"/>
          <w:position w:val="0"/>
          <w:sz w:val="20"/>
          <w:u w:val="none"/>
          <w:vertAlign w:val="baseline"/>
        </w:rPr>
        <w:t> Healthcare Litigation, Actions Against Facilities</w:t>
      </w:r>
    </w:p>
    <w:p>
      <w:pPr>
        <w:keepNext w:val="0"/>
        <w:widowControl w:val="0"/>
        <w:spacing w:before="240" w:after="0" w:line="260" w:lineRule="atLeast"/>
        <w:ind w:left="0" w:right="0" w:firstLine="0"/>
        <w:jc w:val="both"/>
      </w:pPr>
      <w:bookmarkStart w:id="45" w:name="Bookmark_hnpara_16"/>
      <w:bookmarkEnd w:id="45"/>
      <w:r>
        <w:rPr>
          <w:rFonts w:ascii="arial" w:eastAsia="arial" w:hAnsi="arial" w:cs="arial"/>
          <w:b w:val="0"/>
          <w:i w:val="0"/>
          <w:strike w:val="0"/>
          <w:noProof w:val="0"/>
          <w:color w:val="000000"/>
          <w:position w:val="0"/>
          <w:sz w:val="20"/>
          <w:u w:val="none"/>
          <w:vertAlign w:val="baseline"/>
        </w:rPr>
        <w:t xml:space="preserve">Whether a claim is for medical malpractice or battery, injury is an essential element of the claim. In order to prevail on a medical malpractice claim, the plaintiff must prove that she suffered an injury as the result of the negligence of a defendant who failed to act with ordinary and reasonable care in accordance with the recognized standard of professional practice in his profession. </w:t>
      </w:r>
      <w:hyperlink r:id="rId42" w:history="1">
        <w:r>
          <w:rPr>
            <w:rFonts w:ascii="arial" w:eastAsia="arial" w:hAnsi="arial" w:cs="arial"/>
            <w:b w:val="0"/>
            <w:i/>
            <w:strike w:val="0"/>
            <w:noProof w:val="0"/>
            <w:color w:val="0077CC"/>
            <w:position w:val="0"/>
            <w:sz w:val="20"/>
            <w:u w:val="single"/>
            <w:shd w:val="clear" w:color="auto" w:fill="FFFFFF"/>
            <w:vertAlign w:val="baseline"/>
          </w:rPr>
          <w:t>Tenn. Code Ann. § 29-26-115</w:t>
        </w:r>
      </w:hyperlink>
      <w:r>
        <w:rPr>
          <w:rFonts w:ascii="arial" w:eastAsia="arial" w:hAnsi="arial" w:cs="arial"/>
          <w:b w:val="0"/>
          <w:i w:val="0"/>
          <w:strike w:val="0"/>
          <w:noProof w:val="0"/>
          <w:color w:val="000000"/>
          <w:position w:val="0"/>
          <w:sz w:val="20"/>
          <w:u w:val="none"/>
          <w:vertAlign w:val="baseline"/>
        </w:rPr>
        <w:t>. When the claim is for medical battery, liability attaches for any injuries resulting from the treatment or procedure not consented to, regardless of whether or not those injuries resulted from negligence. In either case, there must be a showing of some sort of compensable injury in order for the plaintiff to prevail.</w:t>
      </w:r>
    </w:p>
    <w:p>
      <w:pPr>
        <w:spacing w:before="120"/>
      </w:pPr>
      <w:bookmarkStart w:id="46" w:name="Bookmark_clscc17"/>
      <w:bookmarkEnd w:id="46"/>
    </w:p>
    <w:p>
      <w:pPr>
        <w:keepNext w:val="0"/>
        <w:widowControl w:val="0"/>
        <w:spacing w:before="240" w:after="0" w:line="260" w:lineRule="atLeast"/>
        <w:ind w:left="360" w:right="0" w:firstLine="0"/>
        <w:jc w:val="left"/>
      </w:pPr>
      <w:r>
        <w:rPr>
          <w:rFonts w:ascii="arial" w:eastAsia="arial" w:hAnsi="arial" w:cs="arial"/>
          <w:b w:val="0"/>
          <w:i w:val="0"/>
          <w:strike w:val="0"/>
          <w:noProof w:val="0"/>
          <w:color w:val="000000"/>
          <w:position w:val="0"/>
          <w:sz w:val="20"/>
          <w:u w:val="none"/>
          <w:vertAlign w:val="baseline"/>
        </w:rPr>
        <w:t>Civil Procedure &gt; Appeals &gt; Standards of Review &gt; Abuse of Discretion</w:t>
      </w:r>
    </w:p>
    <w:p>
      <w:pPr>
        <w:keepNext w:val="0"/>
        <w:widowControl w:val="0"/>
        <w:spacing w:before="240" w:after="0" w:line="260" w:lineRule="atLeast"/>
        <w:ind w:left="360" w:right="0" w:firstLine="0"/>
        <w:jc w:val="left"/>
      </w:pPr>
      <w:r>
        <w:rPr>
          <w:rFonts w:ascii="arial" w:eastAsia="arial" w:hAnsi="arial" w:cs="arial"/>
          <w:b w:val="0"/>
          <w:i w:val="0"/>
          <w:strike w:val="0"/>
          <w:noProof w:val="0"/>
          <w:color w:val="000000"/>
          <w:position w:val="0"/>
          <w:sz w:val="20"/>
          <w:u w:val="none"/>
          <w:vertAlign w:val="baseline"/>
        </w:rPr>
        <w:t>Civil Procedure &gt; ... &gt; Costs &amp; Attorney Fees &gt; Attorney Fees &amp; Expenses &gt; Reasonable Fees</w:t>
      </w:r>
    </w:p>
    <w:p>
      <w:pPr>
        <w:keepNext w:val="0"/>
        <w:widowControl w:val="0"/>
        <w:spacing w:before="240" w:after="0" w:line="260" w:lineRule="atLeast"/>
        <w:ind w:left="0" w:right="0" w:firstLine="0"/>
        <w:jc w:val="both"/>
      </w:pPr>
      <w:hyperlink r:id="rId43" w:history="1">
        <w:r>
          <w:rPr>
            <w:rFonts w:ascii="arial" w:eastAsia="arial" w:hAnsi="arial" w:cs="arial"/>
            <w:b/>
            <w:i/>
            <w:strike w:val="0"/>
            <w:color w:val="0077CC"/>
            <w:sz w:val="20"/>
            <w:u w:val="single"/>
            <w:shd w:val="clear" w:color="auto" w:fill="FFFFFF"/>
            <w:vertAlign w:val="baseline"/>
          </w:rPr>
          <w:t>HN17</w:t>
        </w:r>
      </w:hyperlink>
      <w:r>
        <w:rPr>
          <w:rFonts w:ascii="arial" w:eastAsia="arial" w:hAnsi="arial" w:cs="arial"/>
          <w:b w:val="0"/>
          <w:i w:val="0"/>
          <w:strike w:val="0"/>
          <w:noProof w:val="0"/>
          <w:color w:val="000000"/>
          <w:position w:val="0"/>
          <w:sz w:val="20"/>
          <w:u w:val="none"/>
          <w:vertAlign w:val="baseline"/>
        </w:rPr>
        <w:t>[</w:t>
      </w:r>
      <w:hyperlink w:anchor="Bookmark_LNHNREFclscc17" w:history="1">
        <w:r>
          <w:pict>
            <v:shape id="_x0000_i1044" type="#_x0000_t75" style="width:10.5pt;height:10.5pt">
              <v:imagedata r:id="rId16" o:title=""/>
            </v:shape>
          </w:pict>
        </w:r>
      </w:hyperlink>
      <w:r>
        <w:rPr>
          <w:rFonts w:ascii="arial" w:eastAsia="arial" w:hAnsi="arial" w:cs="arial"/>
          <w:b w:val="0"/>
          <w:i w:val="0"/>
          <w:strike w:val="0"/>
          <w:noProof w:val="0"/>
          <w:color w:val="000000"/>
          <w:position w:val="0"/>
          <w:sz w:val="20"/>
          <w:u w:val="none"/>
          <w:vertAlign w:val="baseline"/>
        </w:rPr>
        <w:t xml:space="preserve">] </w:t>
      </w:r>
      <w:r>
        <w:rPr>
          <w:rFonts w:ascii="arial" w:eastAsia="arial" w:hAnsi="arial" w:cs="arial"/>
          <w:b/>
          <w:i w:val="0"/>
          <w:strike w:val="0"/>
          <w:noProof w:val="0"/>
          <w:color w:val="000000"/>
          <w:position w:val="0"/>
          <w:sz w:val="20"/>
          <w:u w:val="none"/>
          <w:vertAlign w:val="baseline"/>
        </w:rPr>
        <w:t> Standards of Review, Abuse of Discretion</w:t>
      </w:r>
    </w:p>
    <w:p>
      <w:pPr>
        <w:keepNext w:val="0"/>
        <w:widowControl w:val="0"/>
        <w:spacing w:before="240" w:after="0" w:line="260" w:lineRule="atLeast"/>
        <w:ind w:left="0" w:right="0" w:firstLine="0"/>
        <w:jc w:val="both"/>
      </w:pPr>
      <w:bookmarkStart w:id="47" w:name="Bookmark_hnpara_17"/>
      <w:bookmarkEnd w:id="47"/>
      <w:hyperlink r:id="rId44" w:history="1">
        <w:r>
          <w:rPr>
            <w:rFonts w:ascii="arial" w:eastAsia="arial" w:hAnsi="arial" w:cs="arial"/>
            <w:b w:val="0"/>
            <w:i/>
            <w:strike w:val="0"/>
            <w:color w:val="0077CC"/>
            <w:sz w:val="20"/>
            <w:u w:val="single"/>
            <w:shd w:val="clear" w:color="auto" w:fill="FFFFFF"/>
            <w:vertAlign w:val="baseline"/>
          </w:rPr>
          <w:t>Tenn. R. Civ. P. 54.04(2)</w:t>
        </w:r>
      </w:hyperlink>
      <w:r>
        <w:rPr>
          <w:rFonts w:ascii="arial" w:eastAsia="arial" w:hAnsi="arial" w:cs="arial"/>
          <w:b w:val="0"/>
          <w:i w:val="0"/>
          <w:strike w:val="0"/>
          <w:noProof w:val="0"/>
          <w:color w:val="000000"/>
          <w:position w:val="0"/>
          <w:sz w:val="20"/>
          <w:u w:val="none"/>
          <w:vertAlign w:val="baseline"/>
        </w:rPr>
        <w:t xml:space="preserve"> authorizes the trial court to award to the prevailing party the reasonable and necessary costs incurred in the preparation and trial of the case. The decision to award or not to award discretionary costs lies within the discretion of the trial court.</w:t>
      </w:r>
    </w:p>
    <w:p>
      <w:pPr>
        <w:keepNext w:val="0"/>
        <w:widowControl w:val="0"/>
        <w:spacing w:before="240" w:after="0" w:line="260" w:lineRule="atLeast"/>
        <w:ind w:left="0" w:right="0" w:firstLine="0"/>
        <w:jc w:val="left"/>
      </w:pPr>
      <w:bookmarkStart w:id="48" w:name="Counsel"/>
      <w:bookmarkEnd w:id="48"/>
      <w:r>
        <w:rPr>
          <w:rFonts w:ascii="arial" w:eastAsia="arial" w:hAnsi="arial" w:cs="arial"/>
          <w:b/>
          <w:i w:val="0"/>
          <w:strike w:val="0"/>
          <w:noProof w:val="0"/>
          <w:color w:val="000000"/>
          <w:position w:val="0"/>
          <w:sz w:val="20"/>
          <w:u w:val="none"/>
          <w:vertAlign w:val="baseline"/>
        </w:rPr>
        <w:t>Counsel:</w:t>
      </w:r>
      <w:r>
        <w:rPr>
          <w:rFonts w:ascii="arial" w:eastAsia="arial" w:hAnsi="arial" w:cs="arial"/>
          <w:b w:val="0"/>
          <w:i w:val="0"/>
          <w:strike w:val="0"/>
          <w:noProof w:val="0"/>
          <w:color w:val="000000"/>
          <w:position w:val="0"/>
          <w:sz w:val="20"/>
          <w:u w:val="none"/>
          <w:vertAlign w:val="baseline"/>
        </w:rPr>
        <w:t> James L. Weatherly, Nashville, Tennessee, counsel for the appellant on appeal, Katherine Range, By Next Friend, Executor/Administrator of the Estate of Katherine Range: Sam Range.</w:t>
      </w:r>
    </w:p>
    <w:p>
      <w:pPr>
        <w:keepNext w:val="0"/>
        <w:widowControl w:val="0"/>
        <w:spacing w:before="120" w:after="0" w:line="260" w:lineRule="atLeast"/>
        <w:ind w:left="0" w:right="0" w:firstLine="0"/>
        <w:jc w:val="left"/>
      </w:pPr>
      <w:r>
        <w:rPr>
          <w:rFonts w:ascii="arial" w:eastAsia="arial" w:hAnsi="arial" w:cs="arial"/>
          <w:b w:val="0"/>
          <w:i w:val="0"/>
          <w:strike w:val="0"/>
          <w:noProof w:val="0"/>
          <w:color w:val="000000"/>
          <w:position w:val="0"/>
          <w:sz w:val="20"/>
          <w:u w:val="none"/>
          <w:vertAlign w:val="baseline"/>
        </w:rPr>
        <w:t>David A. Bates, C. Nicholas Fossett, Columbia, Tennessee, for the appellee, C. M. Sowell, Jr., D.D.S.</w:t>
      </w:r>
    </w:p>
    <w:p>
      <w:pPr>
        <w:keepNext w:val="0"/>
        <w:widowControl w:val="0"/>
        <w:spacing w:before="240" w:after="0" w:line="260" w:lineRule="atLeast"/>
        <w:ind w:left="0" w:right="0" w:firstLine="0"/>
        <w:jc w:val="left"/>
      </w:pPr>
      <w:bookmarkStart w:id="49" w:name="Judges"/>
      <w:bookmarkEnd w:id="49"/>
      <w:r>
        <w:rPr>
          <w:rFonts w:ascii="arial" w:eastAsia="arial" w:hAnsi="arial" w:cs="arial"/>
          <w:b/>
          <w:i w:val="0"/>
          <w:strike w:val="0"/>
          <w:noProof w:val="0"/>
          <w:color w:val="000000"/>
          <w:position w:val="0"/>
          <w:sz w:val="20"/>
          <w:u w:val="none"/>
          <w:vertAlign w:val="baseline"/>
        </w:rPr>
        <w:t>Judges:</w:t>
      </w:r>
      <w:r>
        <w:rPr>
          <w:rFonts w:ascii="arial" w:eastAsia="arial" w:hAnsi="arial" w:cs="arial"/>
          <w:b w:val="0"/>
          <w:i w:val="0"/>
          <w:strike w:val="0"/>
          <w:noProof w:val="0"/>
          <w:color w:val="000000"/>
          <w:position w:val="0"/>
          <w:sz w:val="20"/>
          <w:u w:val="none"/>
          <w:vertAlign w:val="baseline"/>
        </w:rPr>
        <w:t> PATRICIA J. COTTRELL, J., delivered the opinion of the court, in which FRANK G. CLEMENT, JR., J. and ROBERT S. BRANDT, SP. J., joined.</w:t>
      </w:r>
    </w:p>
    <w:p>
      <w:pPr>
        <w:keepNext w:val="0"/>
        <w:widowControl w:val="0"/>
        <w:spacing w:before="240" w:after="0" w:line="260" w:lineRule="atLeast"/>
        <w:ind w:left="0" w:right="0" w:firstLine="0"/>
        <w:jc w:val="left"/>
      </w:pPr>
      <w:bookmarkStart w:id="50" w:name="Opinion by"/>
      <w:bookmarkEnd w:id="50"/>
      <w:r>
        <w:rPr>
          <w:rFonts w:ascii="arial" w:eastAsia="arial" w:hAnsi="arial" w:cs="arial"/>
          <w:b/>
          <w:i w:val="0"/>
          <w:strike w:val="0"/>
          <w:noProof w:val="0"/>
          <w:color w:val="000000"/>
          <w:position w:val="0"/>
          <w:sz w:val="20"/>
          <w:u w:val="none"/>
          <w:vertAlign w:val="baseline"/>
        </w:rPr>
        <w:t>Opinion by:</w:t>
      </w:r>
      <w:r>
        <w:rPr>
          <w:rFonts w:ascii="arial" w:eastAsia="arial" w:hAnsi="arial" w:cs="arial"/>
          <w:b w:val="0"/>
          <w:i w:val="0"/>
          <w:strike w:val="0"/>
          <w:noProof w:val="0"/>
          <w:color w:val="000000"/>
          <w:position w:val="0"/>
          <w:sz w:val="20"/>
          <w:u w:val="none"/>
          <w:vertAlign w:val="baseline"/>
        </w:rPr>
        <w:t> PATRICIA J. COTTRELL</w:t>
      </w:r>
    </w:p>
    <w:p>
      <w:pPr>
        <w:keepNext/>
        <w:widowControl w:val="0"/>
        <w:spacing w:before="240" w:after="0" w:line="340" w:lineRule="atLeast"/>
        <w:ind w:left="0" w:right="0" w:firstLine="0"/>
        <w:jc w:val="left"/>
      </w:pPr>
      <w:bookmarkStart w:id="51" w:name="Opinion"/>
      <w:bookmarkEnd w:id="51"/>
      <w:r>
        <w:rPr>
          <w:rFonts w:ascii="arial" w:eastAsia="arial" w:hAnsi="arial" w:cs="arial"/>
          <w:b/>
          <w:i w:val="0"/>
          <w:strike w:val="0"/>
          <w:noProof w:val="0"/>
          <w:color w:val="000000"/>
          <w:position w:val="0"/>
          <w:sz w:val="28"/>
          <w:u w:val="none"/>
          <w:vertAlign w:val="baseline"/>
        </w:rPr>
        <w:t>Opinion</w:t>
      </w:r>
    </w:p>
    <w:p>
      <w:pPr>
        <w:spacing w:line="60" w:lineRule="exact"/>
      </w:pPr>
      <w:r>
        <w:pict>
          <v:line id="_x0000_s1045" style="position:absolute;z-index:251660288" from="0,2pt" to="251pt,2pt" strokecolor="#009ddb" strokeweight="2pt">
            <v:stroke linestyle="single"/>
            <w10:wrap type="topAndBottom"/>
          </v:line>
        </w:pict>
      </w:r>
    </w:p>
    <w:p/>
    <w:p>
      <w:pPr>
        <w:keepNext w:val="0"/>
        <w:widowControl w:val="0"/>
        <w:spacing w:before="20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The son of a nursing home patient claimed that the defendant dentist committed battery against his mother by performing dental work on her without obtaining proper consent from either the mother or from the son in his capacity as her attorney-in-fact. The dentist argued that he had operated under a general consent to medical care that the son executed at the time of his mother's admission to the nursing home, that the mother was not injured by the care he provided, and that the statute of limitations barred the son's claims. The trial court granted summary </w:t>
      </w:r>
      <w:r>
        <w:rPr>
          <w:rFonts w:ascii="arial" w:eastAsia="arial" w:hAnsi="arial" w:cs="arial"/>
          <w:b/>
          <w:i w:val="0"/>
          <w:strike w:val="0"/>
          <w:noProof w:val="0"/>
          <w:color w:val="000000"/>
          <w:position w:val="0"/>
          <w:sz w:val="20"/>
          <w:u w:val="none"/>
          <w:vertAlign w:val="baseline"/>
        </w:rPr>
        <w:t> [*2] </w:t>
      </w:r>
      <w:r>
        <w:rPr>
          <w:rFonts w:ascii="arial" w:eastAsia="arial" w:hAnsi="arial" w:cs="arial"/>
          <w:b w:val="0"/>
          <w:i w:val="0"/>
          <w:strike w:val="0"/>
          <w:noProof w:val="0"/>
          <w:color w:val="000000"/>
          <w:position w:val="0"/>
          <w:sz w:val="20"/>
          <w:u w:val="none"/>
          <w:vertAlign w:val="baseline"/>
        </w:rPr>
        <w:t>judgment to the dentist. We affirm the summary judgment, but modify that part of the trial court's award of discretionary costs which held the son personally liable for those costs.</w:t>
      </w:r>
    </w:p>
    <w:p>
      <w:pPr>
        <w:keepNext w:val="0"/>
        <w:widowControl w:val="0"/>
        <w:spacing w:before="240" w:after="0" w:line="260" w:lineRule="atLeast"/>
        <w:ind w:left="0" w:right="0" w:firstLine="0"/>
        <w:jc w:val="left"/>
      </w:pPr>
      <w:r>
        <w:br/>
      </w:r>
      <w:r>
        <w:rPr>
          <w:rFonts w:ascii="arial" w:eastAsia="arial" w:hAnsi="arial" w:cs="arial"/>
          <w:b/>
          <w:i w:val="0"/>
          <w:strike w:val="0"/>
          <w:noProof w:val="0"/>
          <w:color w:val="000000"/>
          <w:position w:val="0"/>
          <w:sz w:val="20"/>
          <w:u w:val="none"/>
          <w:vertAlign w:val="baseline"/>
        </w:rPr>
        <w:t>OPINION</w:t>
      </w:r>
    </w:p>
    <w:p>
      <w:pPr>
        <w:keepNext w:val="0"/>
        <w:widowControl w:val="0"/>
        <w:spacing w:before="240" w:after="0" w:line="260" w:lineRule="atLeast"/>
        <w:ind w:left="0" w:right="0" w:firstLine="0"/>
        <w:jc w:val="left"/>
      </w:pPr>
      <w:r>
        <w:br/>
      </w:r>
      <w:r>
        <w:rPr>
          <w:rFonts w:ascii="arial" w:eastAsia="arial" w:hAnsi="arial" w:cs="arial"/>
          <w:b/>
          <w:i w:val="0"/>
          <w:strike w:val="0"/>
          <w:noProof w:val="0"/>
          <w:color w:val="000000"/>
          <w:position w:val="0"/>
          <w:sz w:val="20"/>
          <w:u w:val="none"/>
          <w:vertAlign w:val="baseline"/>
        </w:rPr>
        <w:t>I. BACKGROUND</w:t>
      </w:r>
    </w:p>
    <w:p>
      <w:pPr>
        <w:keepNext w:val="0"/>
        <w:widowControl w:val="0"/>
        <w:spacing w:before="20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Martha Katherine Range lived with her son and his wife, Sam and Connie Range, in Columbia, Tennessee. At some point she suffered a broken hip and underwent hip replacement surgery. On May 28, 1998, she executed a durable power of attorney for health care, appointing Sam Range as her attorney-in-fact "to make health care decisions for me as herein provided if I am incapacitated or otherwise unable to make such decisions for myself." Connie Range was named as a secondary attorney-in-fact in the event that Sam Range was unwilling or unable to act on her behalf. </w:t>
      </w:r>
      <w:r>
        <w:rPr>
          <w:rFonts w:ascii="arial" w:eastAsia="arial" w:hAnsi="arial" w:cs="arial"/>
          <w:vertAlign w:val="superscript"/>
        </w:rPr>
        <w:footnoteReference w:customMarkFollows="1" w:id="2"/>
        <w:t xml:space="preserve">1</w:t>
      </w:r>
      <w:r>
        <w:rPr>
          <w:rFonts w:ascii="arial" w:eastAsia="arial" w:hAnsi="arial" w:cs="arial"/>
          <w:b w:val="0"/>
          <w:i w:val="0"/>
          <w:strike w:val="0"/>
          <w:noProof w:val="0"/>
          <w:color w:val="000000"/>
          <w:position w:val="0"/>
          <w:sz w:val="20"/>
          <w:u w:val="none"/>
          <w:vertAlign w:val="baseline"/>
        </w:rPr>
        <w:t xml:space="preserve"> </w:t>
      </w:r>
    </w:p>
    <w:p>
      <w:pPr>
        <w:keepNext w:val="0"/>
        <w:widowControl w:val="0"/>
        <w:spacing w:before="20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On May 30, 2000, Ms. Range was admitted to Maury Regional Hospital with a complaint of abdominal pain. On June 8, 2000, her physician, Dr. Paul Perryman, discharged her from the hospital, and she was admitted to Heritage Manor, a nursing home in Columbia, Tennessee. Her diagnosed conditions at that time included Alzheimer's </w:t>
      </w:r>
      <w:r>
        <w:rPr>
          <w:rFonts w:ascii="arial" w:eastAsia="arial" w:hAnsi="arial" w:cs="arial"/>
          <w:b/>
          <w:i w:val="0"/>
          <w:strike w:val="0"/>
          <w:noProof w:val="0"/>
          <w:color w:val="000000"/>
          <w:position w:val="0"/>
          <w:sz w:val="20"/>
          <w:u w:val="none"/>
          <w:vertAlign w:val="baseline"/>
        </w:rPr>
        <w:t> [*3] </w:t>
      </w:r>
      <w:r>
        <w:rPr>
          <w:rFonts w:ascii="arial" w:eastAsia="arial" w:hAnsi="arial" w:cs="arial"/>
          <w:b w:val="0"/>
          <w:i w:val="0"/>
          <w:strike w:val="0"/>
          <w:noProof w:val="0"/>
          <w:color w:val="000000"/>
          <w:position w:val="0"/>
          <w:sz w:val="20"/>
          <w:u w:val="none"/>
          <w:vertAlign w:val="baseline"/>
        </w:rPr>
        <w:t>Disease, congestive heart failure, osteoporosis, diabetes, and pleural effusion on both lungs. She was eighty-four years of age at the time.</w:t>
      </w:r>
    </w:p>
    <w:p>
      <w:pPr>
        <w:keepNext w:val="0"/>
        <w:widowControl w:val="0"/>
        <w:spacing w:before="20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Two documents were executed at the time of Ms. Range's admission to the nursing home. The first document titled "AUTHORIZATIONS" includes the authorization to "Dr. Perryman (and assistants)" to "administer medical treatment as is necessary." </w:t>
      </w:r>
      <w:r>
        <w:rPr>
          <w:rFonts w:ascii="arial" w:eastAsia="arial" w:hAnsi="arial" w:cs="arial"/>
          <w:vertAlign w:val="superscript"/>
        </w:rPr>
        <w:footnoteReference w:customMarkFollows="1" w:id="3"/>
        <w:t xml:space="preserve">2</w:t>
      </w:r>
      <w:r>
        <w:rPr>
          <w:rFonts w:ascii="arial" w:eastAsia="arial" w:hAnsi="arial" w:cs="arial"/>
          <w:b w:val="0"/>
          <w:i w:val="0"/>
          <w:strike w:val="0"/>
          <w:noProof w:val="0"/>
          <w:color w:val="000000"/>
          <w:position w:val="0"/>
          <w:sz w:val="20"/>
          <w:u w:val="none"/>
          <w:vertAlign w:val="baseline"/>
        </w:rPr>
        <w:t xml:space="preserve"> What appears to be the signature of Sam Range appears on the signature line for "Resident/Responsible Party" at the bottom of the page. </w:t>
      </w:r>
      <w:r>
        <w:rPr>
          <w:rFonts w:ascii="arial" w:eastAsia="arial" w:hAnsi="arial" w:cs="arial"/>
          <w:vertAlign w:val="superscript"/>
        </w:rPr>
        <w:footnoteReference w:customMarkFollows="1" w:id="4"/>
        <w:t xml:space="preserve">3</w:t>
      </w:r>
      <w:r>
        <w:rPr>
          <w:rFonts w:ascii="arial" w:eastAsia="arial" w:hAnsi="arial" w:cs="arial"/>
          <w:b w:val="0"/>
          <w:i w:val="0"/>
          <w:strike w:val="0"/>
          <w:noProof w:val="0"/>
          <w:color w:val="000000"/>
          <w:position w:val="0"/>
          <w:sz w:val="20"/>
          <w:u w:val="none"/>
          <w:vertAlign w:val="baseline"/>
        </w:rPr>
        <w:t xml:space="preserve"> </w:t>
      </w:r>
    </w:p>
    <w:p>
      <w:pPr>
        <w:keepNext w:val="0"/>
        <w:widowControl w:val="0"/>
        <w:spacing w:before="20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The second document, signed by Dr. Perryman, contains admissions orders listing Ms. Range's medications, her diagnosis, and the level of care she was to receive in the nursing home. </w:t>
      </w:r>
      <w:r>
        <w:rPr>
          <w:rFonts w:ascii="arial" w:eastAsia="arial" w:hAnsi="arial" w:cs="arial"/>
          <w:b/>
          <w:i w:val="0"/>
          <w:strike w:val="0"/>
          <w:noProof w:val="0"/>
          <w:color w:val="000000"/>
          <w:position w:val="0"/>
          <w:sz w:val="20"/>
          <w:u w:val="none"/>
          <w:vertAlign w:val="baseline"/>
        </w:rPr>
        <w:t> [*4] </w:t>
      </w:r>
      <w:r>
        <w:rPr>
          <w:rFonts w:ascii="arial" w:eastAsia="arial" w:hAnsi="arial" w:cs="arial"/>
          <w:b w:val="0"/>
          <w:i w:val="0"/>
          <w:strike w:val="0"/>
          <w:noProof w:val="0"/>
          <w:color w:val="000000"/>
          <w:position w:val="0"/>
          <w:sz w:val="20"/>
          <w:u w:val="none"/>
          <w:vertAlign w:val="baseline"/>
        </w:rPr>
        <w:t>The document also included boxes to be checked for Optometrist, Podiatrist, and Dentist under the heading "to be used as needed." All three boxes were checked. Dr. Perryman admitted in his deposition that he probably did not check those boxes and that "somebody else would have." But he testified that it was his intention in signing what he characterized "as a pretty standard form for a nursing home patient" to give permission to the appropriate provider to clip toenails, prescribe glasses, or extract teeth as needed. The authenticity of these two documents is not crucial for purposes of this appeal.</w:t>
      </w:r>
    </w:p>
    <w:p>
      <w:pPr>
        <w:keepNext w:val="0"/>
        <w:widowControl w:val="0"/>
        <w:spacing w:before="20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In July of 2000, a speech therapy progress note indicated that Ms. Range had one tooth that was rotten and painful and needed to come out (this was apparently her sole remaining tooth). On August 21, 2000, Ms. Range was transported to the office of the defendant dentist, Dr. C.M. Sowell, where he extracted her tooth under local anesthesia. </w:t>
      </w:r>
      <w:r>
        <w:rPr>
          <w:rFonts w:ascii="arial" w:eastAsia="arial" w:hAnsi="arial" w:cs="arial"/>
          <w:vertAlign w:val="superscript"/>
        </w:rPr>
        <w:footnoteReference w:customMarkFollows="1" w:id="5"/>
        <w:t xml:space="preserve">4</w:t>
      </w:r>
      <w:r>
        <w:rPr>
          <w:rFonts w:ascii="arial" w:eastAsia="arial" w:hAnsi="arial" w:cs="arial"/>
          <w:b w:val="0"/>
          <w:i w:val="0"/>
          <w:strike w:val="0"/>
          <w:noProof w:val="0"/>
          <w:color w:val="000000"/>
          <w:position w:val="0"/>
          <w:sz w:val="20"/>
          <w:u w:val="none"/>
          <w:vertAlign w:val="baseline"/>
        </w:rPr>
        <w:t xml:space="preserve"> Dr. Sowell's name was on a list of "Service Providers and Preferences" in a document containing medical information about Ms. Range. Because he believed that the nursing home would do whatever was appropriate to obtain the proper authorization, he testified </w:t>
      </w:r>
      <w:r>
        <w:rPr>
          <w:rFonts w:ascii="arial" w:eastAsia="arial" w:hAnsi="arial" w:cs="arial"/>
          <w:b/>
          <w:i w:val="0"/>
          <w:strike w:val="0"/>
          <w:noProof w:val="0"/>
          <w:color w:val="000000"/>
          <w:position w:val="0"/>
          <w:sz w:val="20"/>
          <w:u w:val="none"/>
          <w:vertAlign w:val="baseline"/>
        </w:rPr>
        <w:t> [*5] </w:t>
      </w:r>
      <w:r>
        <w:rPr>
          <w:rFonts w:ascii="arial" w:eastAsia="arial" w:hAnsi="arial" w:cs="arial"/>
          <w:b w:val="0"/>
          <w:i w:val="0"/>
          <w:strike w:val="0"/>
          <w:noProof w:val="0"/>
          <w:color w:val="000000"/>
          <w:position w:val="0"/>
          <w:sz w:val="20"/>
          <w:u w:val="none"/>
          <w:vertAlign w:val="baseline"/>
        </w:rPr>
        <w:t>that he did not attempt to obtain consent for the procedure from Ms. Range or from her attorney-in-fact.</w:t>
      </w:r>
    </w:p>
    <w:p>
      <w:pPr>
        <w:keepNext w:val="0"/>
        <w:widowControl w:val="0"/>
        <w:spacing w:before="20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Nursing notes indicated that Ms. Range was five feet, five inches tall and that she weighed less than 95 pounds in July of 2000. Her weight steadily increased after her tooth was extracted, reaching 114 pounds on November 21, 2000. Ms. Range's physician, Dr. Perryman, testified that such weight gain was probably a sign of nutritional improvement, resulting from the extraction of the painful tooth.</w:t>
      </w:r>
    </w:p>
    <w:p>
      <w:pPr>
        <w:keepNext w:val="0"/>
        <w:widowControl w:val="0"/>
        <w:spacing w:before="20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Fourteen months after the tooth extraction, in November of 2001, Dr. Sowell came to the nursing home and relined Ms. Range's ill-fitting dentures. Sam Range asserts that he was unaware that either of these dental procedures had been performed until his wife received "an ambiguous note" from the nursing home on February 22, 2002, noting a payment of $ 400 due on </w:t>
      </w:r>
      <w:r>
        <w:rPr>
          <w:rFonts w:ascii="arial" w:eastAsia="arial" w:hAnsi="arial" w:cs="arial"/>
          <w:b/>
          <w:i w:val="0"/>
          <w:strike w:val="0"/>
          <w:noProof w:val="0"/>
          <w:color w:val="000000"/>
          <w:position w:val="0"/>
          <w:sz w:val="20"/>
          <w:u w:val="none"/>
          <w:vertAlign w:val="baseline"/>
        </w:rPr>
        <w:t> [*6] </w:t>
      </w:r>
      <w:r>
        <w:rPr>
          <w:rFonts w:ascii="arial" w:eastAsia="arial" w:hAnsi="arial" w:cs="arial"/>
          <w:b w:val="0"/>
          <w:i w:val="0"/>
          <w:strike w:val="0"/>
          <w:noProof w:val="0"/>
          <w:color w:val="000000"/>
          <w:position w:val="0"/>
          <w:sz w:val="20"/>
          <w:u w:val="none"/>
          <w:vertAlign w:val="baseline"/>
        </w:rPr>
        <w:t>behalf of Katherine Range to C.M. Sowell Jr., D.D.S. Dr. Perryman testified at his deposition that Mr. Range called him around that date to ask him if he was aware of dental treatment that his mother had received. On or about March 6, 2002, Connie Range mailed a check for $ 400 to Heritage Manor, payable to Dr. Sowell.</w:t>
      </w:r>
    </w:p>
    <w:p>
      <w:pPr>
        <w:keepNext w:val="0"/>
        <w:widowControl w:val="0"/>
        <w:spacing w:before="20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Mr. Range states that when he learned of the check, he and his wife went to the nursing home to get additional information about the procedures that his mother underwent. He claims that he received very little cooperation. A complaint was filed against Dr. Sowell with the Tennessee Board of Dentistry. The Board found after investigation that Dr. Sowell had extracted Ms. Range's tooth and had relined her dentures without obtaining informed consent from her or from her legally authorized personal representative. The Board issued a letter of reprimand on November 18, 2003.</w:t>
      </w:r>
    </w:p>
    <w:p>
      <w:pPr>
        <w:keepNext w:val="0"/>
        <w:widowControl w:val="0"/>
        <w:spacing w:before="240" w:after="0" w:line="260" w:lineRule="atLeast"/>
        <w:ind w:left="0" w:right="0" w:firstLine="0"/>
        <w:jc w:val="left"/>
      </w:pPr>
      <w:r>
        <w:br/>
      </w:r>
      <w:r>
        <w:rPr>
          <w:rFonts w:ascii="arial" w:eastAsia="arial" w:hAnsi="arial" w:cs="arial"/>
          <w:b/>
          <w:i w:val="0"/>
          <w:strike w:val="0"/>
          <w:noProof w:val="0"/>
          <w:color w:val="000000"/>
          <w:position w:val="0"/>
          <w:sz w:val="20"/>
          <w:u w:val="none"/>
          <w:vertAlign w:val="baseline"/>
        </w:rPr>
        <w:t>II. LEGAL PROCEEDINGS</w:t>
      </w:r>
    </w:p>
    <w:p>
      <w:pPr>
        <w:keepNext w:val="0"/>
        <w:widowControl w:val="0"/>
        <w:spacing w:before="20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Sam Range filed the present complaint in the Circuit Court of Maury County on December 1, 2003, as next friend of Katherine Range. He named Dr. Sowell as the sole defendant. Mr. Range claimed that his mother had been mentally incompetent since the late 1990's and that she </w:t>
      </w:r>
      <w:r>
        <w:rPr>
          <w:rFonts w:ascii="arial" w:eastAsia="arial" w:hAnsi="arial" w:cs="arial"/>
          <w:b/>
          <w:i w:val="0"/>
          <w:strike w:val="0"/>
          <w:noProof w:val="0"/>
          <w:color w:val="000000"/>
          <w:position w:val="0"/>
          <w:sz w:val="20"/>
          <w:u w:val="none"/>
          <w:vertAlign w:val="baseline"/>
        </w:rPr>
        <w:t> [*7] </w:t>
      </w:r>
      <w:r>
        <w:rPr>
          <w:rFonts w:ascii="arial" w:eastAsia="arial" w:hAnsi="arial" w:cs="arial"/>
          <w:b w:val="0"/>
          <w:i w:val="0"/>
          <w:strike w:val="0"/>
          <w:noProof w:val="0"/>
          <w:color w:val="000000"/>
          <w:position w:val="0"/>
          <w:sz w:val="20"/>
          <w:u w:val="none"/>
          <w:vertAlign w:val="baseline"/>
        </w:rPr>
        <w:t>was incapable of consenting to medical or dental treatment. He accordingly asserted two claims: that Dr. Sowell's failure to obtain informed consent fell below the standard of care for dentists and that the performance of dental procedures on Ms. Range without any consent at all amounted to medical battery, causing her to suffer great pain and distress. He asked to recover damages for "medical and dental expenses, pain and suffering, and infliction of medical battery," in an amount "not to exceed $ 100,000." Mr. Range did not attempt to recover on the theory that either procedure was unnecessary or performed below the applicable standard of care.</w:t>
      </w:r>
    </w:p>
    <w:p>
      <w:pPr>
        <w:keepNext w:val="0"/>
        <w:widowControl w:val="0"/>
        <w:spacing w:before="20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Dr. Sowell responded with a motion to dismiss under </w:t>
      </w:r>
      <w:hyperlink r:id="rId45" w:history="1">
        <w:r>
          <w:rPr>
            <w:rFonts w:ascii="arial" w:eastAsia="arial" w:hAnsi="arial" w:cs="arial"/>
            <w:b w:val="0"/>
            <w:i/>
            <w:strike w:val="0"/>
            <w:noProof w:val="0"/>
            <w:color w:val="0077CC"/>
            <w:position w:val="0"/>
            <w:sz w:val="20"/>
            <w:u w:val="single"/>
            <w:shd w:val="clear" w:color="auto" w:fill="FFFFFF"/>
            <w:vertAlign w:val="baseline"/>
          </w:rPr>
          <w:t>Tenn. R. Civ. P. 12.02(6)</w:t>
        </w:r>
      </w:hyperlink>
      <w:r>
        <w:rPr>
          <w:rFonts w:ascii="arial" w:eastAsia="arial" w:hAnsi="arial" w:cs="arial"/>
          <w:b w:val="0"/>
          <w:i w:val="0"/>
          <w:strike w:val="0"/>
          <w:noProof w:val="0"/>
          <w:color w:val="000000"/>
          <w:position w:val="0"/>
          <w:sz w:val="20"/>
          <w:u w:val="none"/>
          <w:vertAlign w:val="baseline"/>
        </w:rPr>
        <w:t xml:space="preserve"> for failure to state a claim. He asserted, among other things, that Mr. Range's claims were time-barred, because the one-year statute of limitations for personal injury claims had passed before the complaint was filed. He also argued that any claim derived from the tooth extraction on August 21, 2000 was also barred by the three-year medical malpractice statute of repose. Mr. Range subsequently amended his complaint to add an allegation that Dr. Sowell had been guilty </w:t>
      </w:r>
      <w:r>
        <w:rPr>
          <w:rFonts w:ascii="arial" w:eastAsia="arial" w:hAnsi="arial" w:cs="arial"/>
          <w:b/>
          <w:i w:val="0"/>
          <w:strike w:val="0"/>
          <w:noProof w:val="0"/>
          <w:color w:val="000000"/>
          <w:position w:val="0"/>
          <w:sz w:val="20"/>
          <w:u w:val="none"/>
          <w:vertAlign w:val="baseline"/>
        </w:rPr>
        <w:t> [*8] </w:t>
      </w:r>
      <w:r>
        <w:rPr>
          <w:rFonts w:ascii="arial" w:eastAsia="arial" w:hAnsi="arial" w:cs="arial"/>
          <w:b w:val="0"/>
          <w:i w:val="0"/>
          <w:strike w:val="0"/>
          <w:noProof w:val="0"/>
          <w:color w:val="000000"/>
          <w:position w:val="0"/>
          <w:sz w:val="20"/>
          <w:u w:val="none"/>
          <w:vertAlign w:val="baseline"/>
        </w:rPr>
        <w:t>of fraudulent concealment, tolling the medical malpractice statute of repose. The trial court declined to grant the motion to dismiss.</w:t>
      </w:r>
    </w:p>
    <w:p>
      <w:pPr>
        <w:keepNext w:val="0"/>
        <w:widowControl w:val="0"/>
        <w:spacing w:before="20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Dr. Sowell then filed a motion for summary judgment on December 14, 2005, accompanied by a statement of undisputed material facts. Katherine Range died shortly thereafter, on December 31, 2005. </w:t>
      </w:r>
      <w:r>
        <w:rPr>
          <w:rFonts w:ascii="arial" w:eastAsia="arial" w:hAnsi="arial" w:cs="arial"/>
          <w:vertAlign w:val="superscript"/>
        </w:rPr>
        <w:footnoteReference w:customMarkFollows="1" w:id="6"/>
        <w:t xml:space="preserve">5</w:t>
      </w:r>
      <w:r>
        <w:rPr>
          <w:rFonts w:ascii="arial" w:eastAsia="arial" w:hAnsi="arial" w:cs="arial"/>
          <w:b w:val="0"/>
          <w:i w:val="0"/>
          <w:strike w:val="0"/>
          <w:noProof w:val="0"/>
          <w:color w:val="000000"/>
          <w:position w:val="0"/>
          <w:sz w:val="20"/>
          <w:u w:val="none"/>
          <w:vertAlign w:val="baseline"/>
        </w:rPr>
        <w:t xml:space="preserve"> A suggestion of death was filed with the court, and the parties agreed to continue the case with Sam Range substituted as plaintiff in his capacity as Executor/Administrator of his mother's estate. Due to an oversight, the order of substitution was not filed with the court at that time. </w:t>
      </w:r>
      <w:r>
        <w:rPr>
          <w:rFonts w:ascii="arial" w:eastAsia="arial" w:hAnsi="arial" w:cs="arial"/>
          <w:vertAlign w:val="superscript"/>
        </w:rPr>
        <w:footnoteReference w:customMarkFollows="1" w:id="7"/>
        <w:t xml:space="preserve">6</w:t>
      </w:r>
      <w:r>
        <w:rPr>
          <w:rFonts w:ascii="arial" w:eastAsia="arial" w:hAnsi="arial" w:cs="arial"/>
          <w:b w:val="0"/>
          <w:i w:val="0"/>
          <w:strike w:val="0"/>
          <w:noProof w:val="0"/>
          <w:color w:val="000000"/>
          <w:position w:val="0"/>
          <w:sz w:val="20"/>
          <w:u w:val="none"/>
          <w:vertAlign w:val="baseline"/>
        </w:rPr>
        <w:t xml:space="preserve"> </w:t>
      </w:r>
    </w:p>
    <w:p>
      <w:pPr>
        <w:keepNext w:val="0"/>
        <w:widowControl w:val="0"/>
        <w:spacing w:before="20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Mr. Range filed a response to Dr. Sowell's statement of undisputed facts which challenged almost all of the facts by simply stating that they were disputed, without providing evidence to refute the defendant's statement of facts. In some cases, his </w:t>
      </w:r>
      <w:r>
        <w:rPr>
          <w:rFonts w:ascii="arial" w:eastAsia="arial" w:hAnsi="arial" w:cs="arial"/>
          <w:b/>
          <w:i w:val="0"/>
          <w:strike w:val="0"/>
          <w:noProof w:val="0"/>
          <w:color w:val="000000"/>
          <w:position w:val="0"/>
          <w:sz w:val="20"/>
          <w:u w:val="none"/>
          <w:vertAlign w:val="baseline"/>
        </w:rPr>
        <w:t> [*9] </w:t>
      </w:r>
      <w:r>
        <w:rPr>
          <w:rFonts w:ascii="arial" w:eastAsia="arial" w:hAnsi="arial" w:cs="arial"/>
          <w:b w:val="0"/>
          <w:i w:val="0"/>
          <w:strike w:val="0"/>
          <w:noProof w:val="0"/>
          <w:color w:val="000000"/>
          <w:position w:val="0"/>
          <w:sz w:val="20"/>
          <w:u w:val="none"/>
          <w:vertAlign w:val="baseline"/>
        </w:rPr>
        <w:t xml:space="preserve">response was ambiguous. </w:t>
      </w:r>
      <w:r>
        <w:rPr>
          <w:rFonts w:ascii="arial" w:eastAsia="arial" w:hAnsi="arial" w:cs="arial"/>
          <w:vertAlign w:val="superscript"/>
        </w:rPr>
        <w:footnoteReference w:customMarkFollows="1" w:id="8"/>
        <w:t xml:space="preserve">7</w:t>
      </w:r>
      <w:r>
        <w:rPr>
          <w:rFonts w:ascii="arial" w:eastAsia="arial" w:hAnsi="arial" w:cs="arial"/>
          <w:b w:val="0"/>
          <w:i w:val="0"/>
          <w:strike w:val="0"/>
          <w:noProof w:val="0"/>
          <w:color w:val="000000"/>
          <w:position w:val="0"/>
          <w:sz w:val="20"/>
          <w:u w:val="none"/>
          <w:vertAlign w:val="baseline"/>
        </w:rPr>
        <w:t xml:space="preserve"> Responding to facts that were based upon the records of the nursing home, Mr. Range simply characterized all of those alleged facts as disputed on the basis of his contention that the records had not been properly authenticated. But he did not address the substance of the alleged facts.</w:t>
      </w:r>
    </w:p>
    <w:p>
      <w:pPr>
        <w:keepNext w:val="0"/>
        <w:widowControl w:val="0"/>
        <w:spacing w:before="20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The trial court conducted a hearing on the motion for summary judgment on April 21, 2006. The defendant argued that he was entitled to summary judgment on three separate grounds: that he had received proper authorization for Katherine Range's dental treatment, that there was no evidence of injuries, and that the plaintiff's claims were time-barred by the statute of limitations and the statute of repose. The trial court </w:t>
      </w:r>
      <w:r>
        <w:rPr>
          <w:rFonts w:ascii="arial" w:eastAsia="arial" w:hAnsi="arial" w:cs="arial"/>
          <w:b/>
          <w:i w:val="0"/>
          <w:strike w:val="0"/>
          <w:noProof w:val="0"/>
          <w:color w:val="000000"/>
          <w:position w:val="0"/>
          <w:sz w:val="20"/>
          <w:u w:val="none"/>
          <w:vertAlign w:val="baseline"/>
        </w:rPr>
        <w:t> [*10] </w:t>
      </w:r>
      <w:r>
        <w:rPr>
          <w:rFonts w:ascii="arial" w:eastAsia="arial" w:hAnsi="arial" w:cs="arial"/>
          <w:b w:val="0"/>
          <w:i w:val="0"/>
          <w:strike w:val="0"/>
          <w:noProof w:val="0"/>
          <w:color w:val="000000"/>
          <w:position w:val="0"/>
          <w:sz w:val="20"/>
          <w:u w:val="none"/>
          <w:vertAlign w:val="baseline"/>
        </w:rPr>
        <w:t>granted summary judgment to Dr. Sowell on all three grounds.</w:t>
      </w:r>
    </w:p>
    <w:p>
      <w:pPr>
        <w:keepNext w:val="0"/>
        <w:widowControl w:val="0"/>
        <w:spacing w:before="20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Mr. Range filed a motion to alter or amend the order, and Dr. Sowell filed a motion for discretionary costs. The trial court conducted a hearing on the two motions, after which it denied the motion to alter or amend and awarded Dr. Sowell his discretionary costs in the amount of $ 1,838, holding Mr. Range personally liable for payment. This appeal followed.</w:t>
      </w:r>
    </w:p>
    <w:p>
      <w:pPr>
        <w:keepNext w:val="0"/>
        <w:widowControl w:val="0"/>
        <w:spacing w:before="240" w:after="0" w:line="260" w:lineRule="atLeast"/>
        <w:ind w:left="0" w:right="0" w:firstLine="0"/>
        <w:jc w:val="left"/>
      </w:pPr>
      <w:r>
        <w:br/>
      </w:r>
      <w:r>
        <w:rPr>
          <w:rFonts w:ascii="arial" w:eastAsia="arial" w:hAnsi="arial" w:cs="arial"/>
          <w:b/>
          <w:i w:val="0"/>
          <w:strike w:val="0"/>
          <w:noProof w:val="0"/>
          <w:color w:val="000000"/>
          <w:position w:val="0"/>
          <w:sz w:val="20"/>
          <w:u w:val="none"/>
          <w:vertAlign w:val="baseline"/>
        </w:rPr>
        <w:t>III. THE STANDARD OF REVIEW</w:t>
      </w:r>
    </w:p>
    <w:p>
      <w:pPr>
        <w:keepNext w:val="0"/>
        <w:widowControl w:val="0"/>
        <w:spacing w:before="240" w:after="0" w:line="260" w:lineRule="atLeast"/>
        <w:ind w:left="0" w:right="0" w:firstLine="0"/>
        <w:jc w:val="both"/>
      </w:pPr>
      <w:bookmarkStart w:id="59" w:name="Bookmark_I4XRHV0B0K1MNJ12S0000400"/>
      <w:bookmarkEnd w:id="59"/>
      <w:bookmarkStart w:id="60" w:name="Bookmark_I4XRHV0B0K1MNJ18B0000400"/>
      <w:bookmarkEnd w:id="60"/>
      <w:bookmarkStart w:id="61" w:name="Bookmark_LNHNREFclscc1"/>
      <w:bookmarkEnd w:id="61"/>
      <w:hyperlink r:id="rId46" w:history="1">
        <w:r>
          <w:rPr>
            <w:rFonts w:ascii="arial" w:eastAsia="arial" w:hAnsi="arial" w:cs="arial"/>
            <w:b/>
            <w:i/>
            <w:strike w:val="0"/>
            <w:color w:val="0077CC"/>
            <w:sz w:val="20"/>
            <w:u w:val="single"/>
            <w:shd w:val="clear" w:color="auto" w:fill="FFFFFF"/>
            <w:vertAlign w:val="baseline"/>
          </w:rPr>
          <w:t>HN1</w:t>
        </w:r>
      </w:hyperlink>
      <w:r>
        <w:rPr>
          <w:rFonts w:ascii="arial" w:eastAsia="arial" w:hAnsi="arial" w:cs="arial"/>
          <w:b w:val="0"/>
          <w:i w:val="0"/>
          <w:strike w:val="0"/>
          <w:noProof w:val="0"/>
          <w:color w:val="000000"/>
          <w:position w:val="0"/>
          <w:sz w:val="20"/>
          <w:u w:val="none"/>
          <w:vertAlign w:val="baseline"/>
        </w:rPr>
        <w:t>[</w:t>
      </w:r>
      <w:hyperlink w:anchor="Bookmark_clscc1" w:history="1">
        <w:r>
          <w:pict>
            <v:shape id="_x0000_i1046" type="#_x0000_t75" style="width:10.5pt;height:10.5pt">
              <v:imagedata r:id="rId47" o:title=""/>
            </v:shape>
          </w:pict>
        </w:r>
      </w:hyperlink>
      <w:r>
        <w:rPr>
          <w:rFonts w:ascii="arial" w:eastAsia="arial" w:hAnsi="arial" w:cs="arial"/>
          <w:b w:val="0"/>
          <w:i w:val="0"/>
          <w:strike w:val="0"/>
          <w:noProof w:val="0"/>
          <w:color w:val="000000"/>
          <w:position w:val="0"/>
          <w:sz w:val="20"/>
          <w:u w:val="none"/>
          <w:vertAlign w:val="baseline"/>
        </w:rPr>
        <w:t xml:space="preserve">] A trial court's decision on a motion for summary judgment enjoys no presumption of correctness on appeal. </w:t>
      </w:r>
      <w:bookmarkStart w:id="62" w:name="Bookmark_I4XRHV0B0K1MNJ18G0000400"/>
      <w:bookmarkEnd w:id="62"/>
      <w:bookmarkStart w:id="63" w:name="Bookmark_I4XRHV0B0K1MNJ12R0000400"/>
      <w:bookmarkEnd w:id="63"/>
      <w:hyperlink r:id="rId48" w:history="1">
        <w:r>
          <w:rPr>
            <w:rFonts w:ascii="arial" w:eastAsia="arial" w:hAnsi="arial" w:cs="arial"/>
            <w:b w:val="0"/>
            <w:i/>
            <w:strike w:val="0"/>
            <w:noProof w:val="0"/>
            <w:color w:val="0077CC"/>
            <w:position w:val="0"/>
            <w:sz w:val="20"/>
            <w:u w:val="single"/>
            <w:shd w:val="clear" w:color="auto" w:fill="FFFFFF"/>
            <w:vertAlign w:val="baseline"/>
          </w:rPr>
          <w:t>Martin v. Norfolk Southern Railway Co</w:t>
        </w:r>
      </w:hyperlink>
      <w:hyperlink r:id="rId49" w:history="1">
        <w:r>
          <w:rPr>
            <w:rFonts w:ascii="arial" w:eastAsia="arial" w:hAnsi="arial" w:cs="arial"/>
            <w:b w:val="0"/>
            <w:i/>
            <w:strike w:val="0"/>
            <w:noProof w:val="0"/>
            <w:color w:val="0077CC"/>
            <w:position w:val="0"/>
            <w:sz w:val="20"/>
            <w:u w:val="single"/>
            <w:shd w:val="clear" w:color="auto" w:fill="FFFFFF"/>
            <w:vertAlign w:val="baseline"/>
          </w:rPr>
          <w:t>., 271 S.W.3d 76, 84 (Tenn. 2008)</w:t>
        </w:r>
      </w:hyperlink>
      <w:r>
        <w:rPr>
          <w:rFonts w:ascii="arial" w:eastAsia="arial" w:hAnsi="arial" w:cs="arial"/>
          <w:b w:val="0"/>
          <w:i w:val="0"/>
          <w:strike w:val="0"/>
          <w:noProof w:val="0"/>
          <w:color w:val="000000"/>
          <w:position w:val="0"/>
          <w:sz w:val="20"/>
          <w:u w:val="none"/>
          <w:vertAlign w:val="baseline"/>
        </w:rPr>
        <w:t xml:space="preserve">; </w:t>
      </w:r>
      <w:bookmarkStart w:id="64" w:name="Bookmark_I4XRHV0B0K1MNJ12T0000400"/>
      <w:bookmarkEnd w:id="64"/>
      <w:hyperlink r:id="rId50" w:history="1">
        <w:r>
          <w:rPr>
            <w:rFonts w:ascii="arial" w:eastAsia="arial" w:hAnsi="arial" w:cs="arial"/>
            <w:b w:val="0"/>
            <w:i/>
            <w:strike w:val="0"/>
            <w:noProof w:val="0"/>
            <w:color w:val="0077CC"/>
            <w:position w:val="0"/>
            <w:sz w:val="20"/>
            <w:u w:val="single"/>
            <w:shd w:val="clear" w:color="auto" w:fill="FFFFFF"/>
            <w:vertAlign w:val="baseline"/>
          </w:rPr>
          <w:t>Blair v. West Town Mall</w:t>
        </w:r>
      </w:hyperlink>
      <w:hyperlink r:id="rId51" w:history="1">
        <w:r>
          <w:rPr>
            <w:rFonts w:ascii="arial" w:eastAsia="arial" w:hAnsi="arial" w:cs="arial"/>
            <w:b w:val="0"/>
            <w:i/>
            <w:strike w:val="0"/>
            <w:noProof w:val="0"/>
            <w:color w:val="0077CC"/>
            <w:position w:val="0"/>
            <w:sz w:val="20"/>
            <w:u w:val="single"/>
            <w:shd w:val="clear" w:color="auto" w:fill="FFFFFF"/>
            <w:vertAlign w:val="baseline"/>
          </w:rPr>
          <w:t>, 130 S.W.3d 761, 763 (Tenn. 2004)</w:t>
        </w:r>
      </w:hyperlink>
      <w:r>
        <w:rPr>
          <w:rFonts w:ascii="arial" w:eastAsia="arial" w:hAnsi="arial" w:cs="arial"/>
          <w:b w:val="0"/>
          <w:i w:val="0"/>
          <w:strike w:val="0"/>
          <w:noProof w:val="0"/>
          <w:color w:val="000000"/>
          <w:position w:val="0"/>
          <w:sz w:val="20"/>
          <w:u w:val="none"/>
          <w:vertAlign w:val="baseline"/>
        </w:rPr>
        <w:t xml:space="preserve">. We review the summary judgment decision as a question of law. </w:t>
      </w:r>
      <w:r>
        <w:rPr>
          <w:rFonts w:ascii="arial" w:eastAsia="arial" w:hAnsi="arial" w:cs="arial"/>
          <w:b w:val="0"/>
          <w:i/>
          <w:strike w:val="0"/>
          <w:noProof w:val="0"/>
          <w:color w:val="000000"/>
          <w:position w:val="0"/>
          <w:sz w:val="20"/>
          <w:u w:val="none"/>
          <w:vertAlign w:val="baseline"/>
        </w:rPr>
        <w:t>Id</w:t>
      </w:r>
      <w:r>
        <w:rPr>
          <w:rFonts w:ascii="arial" w:eastAsia="arial" w:hAnsi="arial" w:cs="arial"/>
          <w:b w:val="0"/>
          <w:i w:val="0"/>
          <w:strike w:val="0"/>
          <w:noProof w:val="0"/>
          <w:color w:val="000000"/>
          <w:position w:val="0"/>
          <w:sz w:val="20"/>
          <w:u w:val="none"/>
          <w:vertAlign w:val="baseline"/>
        </w:rPr>
        <w:t xml:space="preserve">. Accordingly, this court must review the record </w:t>
      </w:r>
      <w:r>
        <w:rPr>
          <w:rFonts w:ascii="arial" w:eastAsia="arial" w:hAnsi="arial" w:cs="arial"/>
          <w:b w:val="0"/>
          <w:i/>
          <w:strike w:val="0"/>
          <w:noProof w:val="0"/>
          <w:color w:val="000000"/>
          <w:position w:val="0"/>
          <w:sz w:val="20"/>
          <w:u w:val="none"/>
          <w:vertAlign w:val="baseline"/>
        </w:rPr>
        <w:t>de novo</w:t>
      </w:r>
      <w:r>
        <w:rPr>
          <w:rFonts w:ascii="arial" w:eastAsia="arial" w:hAnsi="arial" w:cs="arial"/>
          <w:b w:val="0"/>
          <w:i w:val="0"/>
          <w:strike w:val="0"/>
          <w:noProof w:val="0"/>
          <w:color w:val="000000"/>
          <w:position w:val="0"/>
          <w:sz w:val="20"/>
          <w:u w:val="none"/>
          <w:vertAlign w:val="baseline"/>
        </w:rPr>
        <w:t xml:space="preserve"> and make a fresh determination of whether the requirements of Tenn. R. Civ. P. 56 have been met. </w:t>
      </w:r>
      <w:bookmarkStart w:id="65" w:name="Bookmark_I4XRHV0B0K1MNJ12W0000400"/>
      <w:bookmarkEnd w:id="65"/>
      <w:hyperlink r:id="rId52" w:history="1">
        <w:r>
          <w:rPr>
            <w:rFonts w:ascii="arial" w:eastAsia="arial" w:hAnsi="arial" w:cs="arial"/>
            <w:b w:val="0"/>
            <w:i/>
            <w:strike w:val="0"/>
            <w:noProof w:val="0"/>
            <w:color w:val="0077CC"/>
            <w:position w:val="0"/>
            <w:sz w:val="20"/>
            <w:u w:val="single"/>
            <w:shd w:val="clear" w:color="auto" w:fill="FFFFFF"/>
            <w:vertAlign w:val="baseline"/>
          </w:rPr>
          <w:t>Eadie v. Complete Co., Inc</w:t>
        </w:r>
      </w:hyperlink>
      <w:hyperlink r:id="rId53" w:history="1">
        <w:r>
          <w:rPr>
            <w:rFonts w:ascii="arial" w:eastAsia="arial" w:hAnsi="arial" w:cs="arial"/>
            <w:b w:val="0"/>
            <w:i/>
            <w:strike w:val="0"/>
            <w:noProof w:val="0"/>
            <w:color w:val="0077CC"/>
            <w:position w:val="0"/>
            <w:sz w:val="20"/>
            <w:u w:val="single"/>
            <w:shd w:val="clear" w:color="auto" w:fill="FFFFFF"/>
            <w:vertAlign w:val="baseline"/>
          </w:rPr>
          <w:t>., 142 S.W.3d 288, 291 (Tenn. 2004)</w:t>
        </w:r>
      </w:hyperlink>
      <w:r>
        <w:rPr>
          <w:rFonts w:ascii="arial" w:eastAsia="arial" w:hAnsi="arial" w:cs="arial"/>
          <w:b w:val="0"/>
          <w:i w:val="0"/>
          <w:strike w:val="0"/>
          <w:noProof w:val="0"/>
          <w:color w:val="000000"/>
          <w:position w:val="0"/>
          <w:sz w:val="20"/>
          <w:u w:val="none"/>
          <w:vertAlign w:val="baseline"/>
        </w:rPr>
        <w:t xml:space="preserve">; </w:t>
      </w:r>
      <w:bookmarkStart w:id="66" w:name="Bookmark_I4XRHV0B0K1MNJ18C0000400"/>
      <w:bookmarkEnd w:id="66"/>
      <w:hyperlink r:id="rId54" w:history="1">
        <w:r>
          <w:rPr>
            <w:rFonts w:ascii="arial" w:eastAsia="arial" w:hAnsi="arial" w:cs="arial"/>
            <w:b w:val="0"/>
            <w:i/>
            <w:strike w:val="0"/>
            <w:noProof w:val="0"/>
            <w:color w:val="0077CC"/>
            <w:position w:val="0"/>
            <w:sz w:val="20"/>
            <w:u w:val="single"/>
            <w:shd w:val="clear" w:color="auto" w:fill="FFFFFF"/>
            <w:vertAlign w:val="baseline"/>
          </w:rPr>
          <w:t>Blair v. West Town Mall</w:t>
        </w:r>
      </w:hyperlink>
      <w:hyperlink r:id="rId55" w:history="1">
        <w:r>
          <w:rPr>
            <w:rFonts w:ascii="arial" w:eastAsia="arial" w:hAnsi="arial" w:cs="arial"/>
            <w:b w:val="0"/>
            <w:i/>
            <w:strike w:val="0"/>
            <w:noProof w:val="0"/>
            <w:color w:val="0077CC"/>
            <w:position w:val="0"/>
            <w:sz w:val="20"/>
            <w:u w:val="single"/>
            <w:shd w:val="clear" w:color="auto" w:fill="FFFFFF"/>
            <w:vertAlign w:val="baseline"/>
          </w:rPr>
          <w:t>, 130 S.W.3d 761, 763 (Tenn. 2004)</w:t>
        </w:r>
      </w:hyperlink>
      <w:r>
        <w:rPr>
          <w:rFonts w:ascii="arial" w:eastAsia="arial" w:hAnsi="arial" w:cs="arial"/>
          <w:b w:val="0"/>
          <w:i w:val="0"/>
          <w:strike w:val="0"/>
          <w:noProof w:val="0"/>
          <w:color w:val="000000"/>
          <w:position w:val="0"/>
          <w:sz w:val="20"/>
          <w:u w:val="none"/>
          <w:vertAlign w:val="baseline"/>
        </w:rPr>
        <w:t xml:space="preserve">. </w:t>
      </w:r>
      <w:bookmarkStart w:id="67" w:name="Bookmark_I4XRHV0B0K1MNJ18G0000400_2"/>
      <w:bookmarkEnd w:id="67"/>
      <w:r>
        <w:rPr>
          <w:rFonts w:ascii="arial" w:eastAsia="arial" w:hAnsi="arial" w:cs="arial"/>
          <w:b w:val="0"/>
          <w:i w:val="0"/>
          <w:strike w:val="0"/>
          <w:noProof w:val="0"/>
          <w:color w:val="000000"/>
          <w:position w:val="0"/>
          <w:sz w:val="20"/>
          <w:u w:val="none"/>
          <w:vertAlign w:val="baseline"/>
        </w:rPr>
        <w:t xml:space="preserve">Those requirements are that the filings supporting the motion show that there is no genuine issue of material fact and that the moving party is entitled to judgment as a matter </w:t>
      </w:r>
      <w:r>
        <w:rPr>
          <w:rFonts w:ascii="arial" w:eastAsia="arial" w:hAnsi="arial" w:cs="arial"/>
          <w:b/>
          <w:i w:val="0"/>
          <w:strike w:val="0"/>
          <w:noProof w:val="0"/>
          <w:color w:val="000000"/>
          <w:position w:val="0"/>
          <w:sz w:val="20"/>
          <w:u w:val="none"/>
          <w:vertAlign w:val="baseline"/>
        </w:rPr>
        <w:t> [*11] </w:t>
      </w:r>
      <w:r>
        <w:rPr>
          <w:rFonts w:ascii="arial" w:eastAsia="arial" w:hAnsi="arial" w:cs="arial"/>
          <w:b w:val="0"/>
          <w:i w:val="0"/>
          <w:strike w:val="0"/>
          <w:noProof w:val="0"/>
          <w:color w:val="000000"/>
          <w:position w:val="0"/>
          <w:sz w:val="20"/>
          <w:u w:val="none"/>
          <w:vertAlign w:val="baseline"/>
        </w:rPr>
        <w:t xml:space="preserve">of law. </w:t>
      </w:r>
      <w:hyperlink r:id="rId56" w:history="1">
        <w:r>
          <w:rPr>
            <w:rFonts w:ascii="arial" w:eastAsia="arial" w:hAnsi="arial" w:cs="arial"/>
            <w:b w:val="0"/>
            <w:i/>
            <w:strike w:val="0"/>
            <w:noProof w:val="0"/>
            <w:color w:val="0077CC"/>
            <w:position w:val="0"/>
            <w:sz w:val="20"/>
            <w:u w:val="single"/>
            <w:shd w:val="clear" w:color="auto" w:fill="FFFFFF"/>
            <w:vertAlign w:val="baseline"/>
          </w:rPr>
          <w:t>Tenn. R. Civ. P. 56.04</w:t>
        </w:r>
      </w:hyperlink>
      <w:r>
        <w:rPr>
          <w:rFonts w:ascii="arial" w:eastAsia="arial" w:hAnsi="arial" w:cs="arial"/>
          <w:b w:val="0"/>
          <w:i w:val="0"/>
          <w:strike w:val="0"/>
          <w:noProof w:val="0"/>
          <w:color w:val="000000"/>
          <w:position w:val="0"/>
          <w:sz w:val="20"/>
          <w:u w:val="none"/>
          <w:vertAlign w:val="baseline"/>
        </w:rPr>
        <w:t xml:space="preserve">; </w:t>
      </w:r>
      <w:bookmarkStart w:id="68" w:name="Bookmark_I4XRHV0B0K1MNJ18F0000400"/>
      <w:bookmarkEnd w:id="68"/>
      <w:hyperlink r:id="rId57" w:history="1">
        <w:r>
          <w:rPr>
            <w:rFonts w:ascii="arial" w:eastAsia="arial" w:hAnsi="arial" w:cs="arial"/>
            <w:b w:val="0"/>
            <w:i/>
            <w:strike w:val="0"/>
            <w:noProof w:val="0"/>
            <w:color w:val="0077CC"/>
            <w:position w:val="0"/>
            <w:sz w:val="20"/>
            <w:u w:val="single"/>
            <w:shd w:val="clear" w:color="auto" w:fill="FFFFFF"/>
            <w:vertAlign w:val="baseline"/>
          </w:rPr>
          <w:t>Blair</w:t>
        </w:r>
      </w:hyperlink>
      <w:hyperlink r:id="rId58" w:history="1">
        <w:r>
          <w:rPr>
            <w:rFonts w:ascii="arial" w:eastAsia="arial" w:hAnsi="arial" w:cs="arial"/>
            <w:b w:val="0"/>
            <w:i/>
            <w:strike w:val="0"/>
            <w:noProof w:val="0"/>
            <w:color w:val="0077CC"/>
            <w:position w:val="0"/>
            <w:sz w:val="20"/>
            <w:u w:val="single"/>
            <w:shd w:val="clear" w:color="auto" w:fill="FFFFFF"/>
            <w:vertAlign w:val="baseline"/>
          </w:rPr>
          <w:t>, 130 S.W.3d at 764</w:t>
        </w:r>
      </w:hyperlink>
      <w:r>
        <w:rPr>
          <w:rFonts w:ascii="arial" w:eastAsia="arial" w:hAnsi="arial" w:cs="arial"/>
          <w:b w:val="0"/>
          <w:i w:val="0"/>
          <w:strike w:val="0"/>
          <w:noProof w:val="0"/>
          <w:color w:val="000000"/>
          <w:position w:val="0"/>
          <w:sz w:val="20"/>
          <w:u w:val="none"/>
          <w:vertAlign w:val="baseline"/>
        </w:rPr>
        <w:t>.</w:t>
      </w:r>
    </w:p>
    <w:p>
      <w:pPr>
        <w:keepNext w:val="0"/>
        <w:widowControl w:val="0"/>
        <w:spacing w:before="240" w:after="0" w:line="260" w:lineRule="atLeast"/>
        <w:ind w:left="0" w:right="0" w:firstLine="0"/>
        <w:jc w:val="both"/>
      </w:pPr>
      <w:bookmarkStart w:id="69" w:name="Bookmark_I4XRHV0B0K1MNJ18R0000400"/>
      <w:bookmarkEnd w:id="69"/>
      <w:bookmarkStart w:id="70" w:name="Bookmark_I4XRHV0B0K1MNJ18T0000400"/>
      <w:bookmarkEnd w:id="70"/>
      <w:bookmarkStart w:id="71" w:name="Bookmark_LNHNREFclscc2"/>
      <w:bookmarkEnd w:id="71"/>
      <w:hyperlink r:id="rId59" w:history="1">
        <w:r>
          <w:rPr>
            <w:rFonts w:ascii="arial" w:eastAsia="arial" w:hAnsi="arial" w:cs="arial"/>
            <w:b/>
            <w:i/>
            <w:strike w:val="0"/>
            <w:color w:val="0077CC"/>
            <w:sz w:val="20"/>
            <w:u w:val="single"/>
            <w:shd w:val="clear" w:color="auto" w:fill="FFFFFF"/>
            <w:vertAlign w:val="baseline"/>
          </w:rPr>
          <w:t>HN2</w:t>
        </w:r>
      </w:hyperlink>
      <w:r>
        <w:rPr>
          <w:rFonts w:ascii="arial" w:eastAsia="arial" w:hAnsi="arial" w:cs="arial"/>
          <w:b w:val="0"/>
          <w:i w:val="0"/>
          <w:strike w:val="0"/>
          <w:noProof w:val="0"/>
          <w:color w:val="000000"/>
          <w:position w:val="0"/>
          <w:sz w:val="20"/>
          <w:u w:val="none"/>
          <w:vertAlign w:val="baseline"/>
        </w:rPr>
        <w:t>[</w:t>
      </w:r>
      <w:hyperlink w:anchor="Bookmark_clscc2" w:history="1">
        <w:r>
          <w:pict>
            <v:shape id="_x0000_i1047" type="#_x0000_t75" style="width:10.5pt;height:10.5pt">
              <v:imagedata r:id="rId47" o:title=""/>
            </v:shape>
          </w:pict>
        </w:r>
      </w:hyperlink>
      <w:r>
        <w:rPr>
          <w:rFonts w:ascii="arial" w:eastAsia="arial" w:hAnsi="arial" w:cs="arial"/>
          <w:b w:val="0"/>
          <w:i w:val="0"/>
          <w:strike w:val="0"/>
          <w:noProof w:val="0"/>
          <w:color w:val="000000"/>
          <w:position w:val="0"/>
          <w:sz w:val="20"/>
          <w:u w:val="none"/>
          <w:vertAlign w:val="baseline"/>
        </w:rPr>
        <w:t xml:space="preserve">] The moving party has the burden of demonstrating it is entitled to judgment as a matter of law and that there are no material facts in dispute. </w:t>
      </w:r>
      <w:bookmarkStart w:id="72" w:name="Bookmark_I14GCWSC7KG000GB21V000F0"/>
      <w:bookmarkEnd w:id="72"/>
      <w:bookmarkStart w:id="73" w:name="Bookmark_I4XRHV0B0K1MNJ1FM0000400"/>
      <w:bookmarkEnd w:id="73"/>
      <w:bookmarkStart w:id="74" w:name="Bookmark_I4XRHV0B0K1MNJ18P0000400"/>
      <w:bookmarkEnd w:id="74"/>
      <w:hyperlink r:id="rId60" w:history="1">
        <w:r>
          <w:rPr>
            <w:rFonts w:ascii="arial" w:eastAsia="arial" w:hAnsi="arial" w:cs="arial"/>
            <w:b w:val="0"/>
            <w:i/>
            <w:strike w:val="0"/>
            <w:noProof w:val="0"/>
            <w:color w:val="0077CC"/>
            <w:position w:val="0"/>
            <w:sz w:val="20"/>
            <w:u w:val="single"/>
            <w:shd w:val="clear" w:color="auto" w:fill="FFFFFF"/>
            <w:vertAlign w:val="baseline"/>
          </w:rPr>
          <w:t>Martin</w:t>
        </w:r>
      </w:hyperlink>
      <w:hyperlink r:id="rId61" w:history="1">
        <w:r>
          <w:rPr>
            <w:rFonts w:ascii="arial" w:eastAsia="arial" w:hAnsi="arial" w:cs="arial"/>
            <w:b w:val="0"/>
            <w:i/>
            <w:strike w:val="0"/>
            <w:noProof w:val="0"/>
            <w:color w:val="0077CC"/>
            <w:position w:val="0"/>
            <w:sz w:val="20"/>
            <w:u w:val="single"/>
            <w:shd w:val="clear" w:color="auto" w:fill="FFFFFF"/>
            <w:vertAlign w:val="baseline"/>
          </w:rPr>
          <w:t>, 271 S.W.3d at 83</w:t>
        </w:r>
      </w:hyperlink>
      <w:r>
        <w:rPr>
          <w:rFonts w:ascii="arial" w:eastAsia="arial" w:hAnsi="arial" w:cs="arial"/>
          <w:b w:val="0"/>
          <w:i w:val="0"/>
          <w:strike w:val="0"/>
          <w:noProof w:val="0"/>
          <w:color w:val="000000"/>
          <w:position w:val="0"/>
          <w:sz w:val="20"/>
          <w:u w:val="none"/>
          <w:vertAlign w:val="baseline"/>
        </w:rPr>
        <w:t xml:space="preserve">; . </w:t>
      </w:r>
      <w:bookmarkStart w:id="75" w:name="Bookmark_I4XRHV0B0K1MNJ1FP0000400"/>
      <w:bookmarkEnd w:id="75"/>
      <w:bookmarkStart w:id="76" w:name="Bookmark_I4XRHV0B0K1MNJ18S0000400"/>
      <w:bookmarkEnd w:id="76"/>
      <w:hyperlink r:id="rId62" w:history="1">
        <w:r>
          <w:rPr>
            <w:rFonts w:ascii="arial" w:eastAsia="arial" w:hAnsi="arial" w:cs="arial"/>
            <w:b w:val="0"/>
            <w:i/>
            <w:strike w:val="0"/>
            <w:noProof w:val="0"/>
            <w:color w:val="0077CC"/>
            <w:position w:val="0"/>
            <w:sz w:val="20"/>
            <w:u w:val="single"/>
            <w:shd w:val="clear" w:color="auto" w:fill="FFFFFF"/>
            <w:vertAlign w:val="baseline"/>
          </w:rPr>
          <w:t>McCarley v. West Quality Food Service</w:t>
        </w:r>
      </w:hyperlink>
      <w:hyperlink r:id="rId63" w:history="1">
        <w:r>
          <w:rPr>
            <w:rFonts w:ascii="arial" w:eastAsia="arial" w:hAnsi="arial" w:cs="arial"/>
            <w:b w:val="0"/>
            <w:i/>
            <w:strike w:val="0"/>
            <w:noProof w:val="0"/>
            <w:color w:val="0077CC"/>
            <w:position w:val="0"/>
            <w:sz w:val="20"/>
            <w:u w:val="single"/>
            <w:shd w:val="clear" w:color="auto" w:fill="FFFFFF"/>
            <w:vertAlign w:val="baseline"/>
          </w:rPr>
          <w:t>, 960 S.W.2d 585, 588 (Tenn. 1998)</w:t>
        </w:r>
      </w:hyperlink>
      <w:r>
        <w:rPr>
          <w:rFonts w:ascii="arial" w:eastAsia="arial" w:hAnsi="arial" w:cs="arial"/>
          <w:b w:val="0"/>
          <w:i w:val="0"/>
          <w:strike w:val="0"/>
          <w:noProof w:val="0"/>
          <w:color w:val="000000"/>
          <w:position w:val="0"/>
          <w:sz w:val="20"/>
          <w:u w:val="none"/>
          <w:vertAlign w:val="baseline"/>
        </w:rPr>
        <w:t xml:space="preserve"> To be entitled to summary judgment, a defendant moving party must either (1) affirmatively negate an essential element of the non-moving party's claim or (2) show that the nonmoving party cannot prove an essential element of the claim at trial. </w:t>
      </w:r>
      <w:bookmarkStart w:id="77" w:name="Bookmark_I4XRHV0B0K1MNJ1FP0000400_2"/>
      <w:bookmarkEnd w:id="77"/>
      <w:bookmarkStart w:id="78" w:name="Bookmark_I4XRHV0B0K1MNJ1FM0000400_2"/>
      <w:bookmarkEnd w:id="78"/>
      <w:bookmarkStart w:id="79" w:name="Bookmark_I4XRHV0B0K1MNJ18V0000400"/>
      <w:bookmarkEnd w:id="79"/>
      <w:hyperlink r:id="rId64" w:history="1">
        <w:r>
          <w:rPr>
            <w:rFonts w:ascii="arial" w:eastAsia="arial" w:hAnsi="arial" w:cs="arial"/>
            <w:b w:val="0"/>
            <w:i/>
            <w:strike w:val="0"/>
            <w:noProof w:val="0"/>
            <w:color w:val="0077CC"/>
            <w:position w:val="0"/>
            <w:sz w:val="20"/>
            <w:u w:val="single"/>
            <w:shd w:val="clear" w:color="auto" w:fill="FFFFFF"/>
            <w:vertAlign w:val="baseline"/>
          </w:rPr>
          <w:t>Hannan v. Alltel Publishing Co</w:t>
        </w:r>
      </w:hyperlink>
      <w:hyperlink r:id="rId65" w:history="1">
        <w:r>
          <w:rPr>
            <w:rFonts w:ascii="arial" w:eastAsia="arial" w:hAnsi="arial" w:cs="arial"/>
            <w:b w:val="0"/>
            <w:i/>
            <w:strike w:val="0"/>
            <w:noProof w:val="0"/>
            <w:color w:val="0077CC"/>
            <w:position w:val="0"/>
            <w:sz w:val="20"/>
            <w:u w:val="single"/>
            <w:shd w:val="clear" w:color="auto" w:fill="FFFFFF"/>
            <w:vertAlign w:val="baseline"/>
          </w:rPr>
          <w:t>., 270 S.W.3d 1, 9 (Tenn. 2008)</w:t>
        </w:r>
      </w:hyperlink>
      <w:r>
        <w:rPr>
          <w:rFonts w:ascii="arial" w:eastAsia="arial" w:hAnsi="arial" w:cs="arial"/>
          <w:b w:val="0"/>
          <w:i w:val="0"/>
          <w:strike w:val="0"/>
          <w:noProof w:val="0"/>
          <w:color w:val="000000"/>
          <w:position w:val="0"/>
          <w:sz w:val="20"/>
          <w:u w:val="none"/>
          <w:vertAlign w:val="baseline"/>
        </w:rPr>
        <w:t xml:space="preserve">. </w:t>
      </w:r>
      <w:r>
        <w:rPr>
          <w:rFonts w:ascii="arial" w:eastAsia="arial" w:hAnsi="arial" w:cs="arial"/>
          <w:b w:val="0"/>
          <w:i w:val="0"/>
          <w:strike w:val="0"/>
          <w:noProof w:val="0"/>
          <w:color w:val="000000"/>
          <w:position w:val="0"/>
          <w:sz w:val="20"/>
          <w:u w:val="none"/>
          <w:vertAlign w:val="baseline"/>
        </w:rPr>
        <w:t xml:space="preserve">If the party seeking summary judgment makes a properly supported motion, the burden shifts to the nonmoving party to set forth specific facts establishing the existence of a genuine issue of material fact. </w:t>
      </w:r>
      <w:bookmarkStart w:id="80" w:name="Bookmark_I4XRHV0B0K1MNJ1FN0000400"/>
      <w:bookmarkEnd w:id="80"/>
      <w:hyperlink r:id="rId66" w:history="1">
        <w:r>
          <w:rPr>
            <w:rFonts w:ascii="arial" w:eastAsia="arial" w:hAnsi="arial" w:cs="arial"/>
            <w:b w:val="0"/>
            <w:i/>
            <w:strike w:val="0"/>
            <w:noProof w:val="0"/>
            <w:color w:val="0077CC"/>
            <w:position w:val="0"/>
            <w:sz w:val="20"/>
            <w:u w:val="single"/>
            <w:shd w:val="clear" w:color="auto" w:fill="FFFFFF"/>
            <w:vertAlign w:val="baseline"/>
          </w:rPr>
          <w:t>Martin</w:t>
        </w:r>
      </w:hyperlink>
      <w:hyperlink r:id="rId67" w:history="1">
        <w:r>
          <w:rPr>
            <w:rFonts w:ascii="arial" w:eastAsia="arial" w:hAnsi="arial" w:cs="arial"/>
            <w:b w:val="0"/>
            <w:i/>
            <w:strike w:val="0"/>
            <w:noProof w:val="0"/>
            <w:color w:val="0077CC"/>
            <w:position w:val="0"/>
            <w:sz w:val="20"/>
            <w:u w:val="single"/>
            <w:shd w:val="clear" w:color="auto" w:fill="FFFFFF"/>
            <w:vertAlign w:val="baseline"/>
          </w:rPr>
          <w:t>, 271 S.W.3d at 84</w:t>
        </w:r>
      </w:hyperlink>
      <w:r>
        <w:rPr>
          <w:rFonts w:ascii="arial" w:eastAsia="arial" w:hAnsi="arial" w:cs="arial"/>
          <w:b w:val="0"/>
          <w:i w:val="0"/>
          <w:strike w:val="0"/>
          <w:noProof w:val="0"/>
          <w:color w:val="000000"/>
          <w:position w:val="0"/>
          <w:sz w:val="20"/>
          <w:u w:val="none"/>
          <w:vertAlign w:val="baseline"/>
        </w:rPr>
        <w:t xml:space="preserve">; </w:t>
      </w:r>
      <w:bookmarkStart w:id="81" w:name="Bookmark_I4XRHV0B0K1MNJ1FR0000400"/>
      <w:bookmarkEnd w:id="81"/>
      <w:hyperlink r:id="rId68" w:history="1">
        <w:r>
          <w:rPr>
            <w:rFonts w:ascii="arial" w:eastAsia="arial" w:hAnsi="arial" w:cs="arial"/>
            <w:b w:val="0"/>
            <w:i/>
            <w:strike w:val="0"/>
            <w:noProof w:val="0"/>
            <w:color w:val="0077CC"/>
            <w:position w:val="0"/>
            <w:sz w:val="20"/>
            <w:u w:val="single"/>
            <w:shd w:val="clear" w:color="auto" w:fill="FFFFFF"/>
            <w:vertAlign w:val="baseline"/>
          </w:rPr>
          <w:t>Hannan</w:t>
        </w:r>
      </w:hyperlink>
      <w:hyperlink r:id="rId69" w:history="1">
        <w:r>
          <w:rPr>
            <w:rFonts w:ascii="arial" w:eastAsia="arial" w:hAnsi="arial" w:cs="arial"/>
            <w:b w:val="0"/>
            <w:i/>
            <w:strike w:val="0"/>
            <w:noProof w:val="0"/>
            <w:color w:val="0077CC"/>
            <w:position w:val="0"/>
            <w:sz w:val="20"/>
            <w:u w:val="single"/>
            <w:shd w:val="clear" w:color="auto" w:fill="FFFFFF"/>
            <w:vertAlign w:val="baseline"/>
          </w:rPr>
          <w:t>, 270 S.W.3d at 5</w:t>
        </w:r>
      </w:hyperlink>
      <w:r>
        <w:rPr>
          <w:rFonts w:ascii="arial" w:eastAsia="arial" w:hAnsi="arial" w:cs="arial"/>
          <w:b w:val="0"/>
          <w:i w:val="0"/>
          <w:strike w:val="0"/>
          <w:noProof w:val="0"/>
          <w:color w:val="000000"/>
          <w:position w:val="0"/>
          <w:sz w:val="20"/>
          <w:u w:val="none"/>
          <w:vertAlign w:val="baseline"/>
        </w:rPr>
        <w:t xml:space="preserve">; </w:t>
      </w:r>
      <w:bookmarkStart w:id="82" w:name="Bookmark_I4XRHV0B0K1MNJ1HF0000400"/>
      <w:bookmarkEnd w:id="82"/>
      <w:hyperlink r:id="rId70" w:history="1">
        <w:r>
          <w:rPr>
            <w:rFonts w:ascii="arial" w:eastAsia="arial" w:hAnsi="arial" w:cs="arial"/>
            <w:b w:val="0"/>
            <w:i/>
            <w:strike w:val="0"/>
            <w:noProof w:val="0"/>
            <w:color w:val="0077CC"/>
            <w:position w:val="0"/>
            <w:sz w:val="20"/>
            <w:u w:val="single"/>
            <w:shd w:val="clear" w:color="auto" w:fill="FFFFFF"/>
            <w:vertAlign w:val="baseline"/>
          </w:rPr>
          <w:t>Staples v. CBL &amp; Associates</w:t>
        </w:r>
      </w:hyperlink>
      <w:hyperlink r:id="rId71" w:history="1">
        <w:r>
          <w:rPr>
            <w:rFonts w:ascii="arial" w:eastAsia="arial" w:hAnsi="arial" w:cs="arial"/>
            <w:b w:val="0"/>
            <w:i/>
            <w:strike w:val="0"/>
            <w:noProof w:val="0"/>
            <w:color w:val="0077CC"/>
            <w:position w:val="0"/>
            <w:sz w:val="20"/>
            <w:u w:val="single"/>
            <w:shd w:val="clear" w:color="auto" w:fill="FFFFFF"/>
            <w:vertAlign w:val="baseline"/>
          </w:rPr>
          <w:t>, 15 S.W.3d 83, 86 (Tenn. 2000)</w:t>
        </w:r>
      </w:hyperlink>
      <w:r>
        <w:rPr>
          <w:rFonts w:ascii="arial" w:eastAsia="arial" w:hAnsi="arial" w:cs="arial"/>
          <w:b w:val="0"/>
          <w:i w:val="0"/>
          <w:strike w:val="0"/>
          <w:noProof w:val="0"/>
          <w:color w:val="000000"/>
          <w:position w:val="0"/>
          <w:sz w:val="20"/>
          <w:u w:val="none"/>
          <w:vertAlign w:val="baseline"/>
        </w:rPr>
        <w:t xml:space="preserve"> (citing </w:t>
      </w:r>
      <w:bookmarkStart w:id="83" w:name="Bookmark_I4XRHV0B0K1MNJ1HH0000400"/>
      <w:bookmarkEnd w:id="83"/>
      <w:hyperlink r:id="rId72" w:history="1">
        <w:r>
          <w:rPr>
            <w:rFonts w:ascii="arial" w:eastAsia="arial" w:hAnsi="arial" w:cs="arial"/>
            <w:b w:val="0"/>
            <w:i/>
            <w:strike w:val="0"/>
            <w:noProof w:val="0"/>
            <w:color w:val="0077CC"/>
            <w:position w:val="0"/>
            <w:sz w:val="20"/>
            <w:u w:val="single"/>
            <w:shd w:val="clear" w:color="auto" w:fill="FFFFFF"/>
            <w:vertAlign w:val="baseline"/>
          </w:rPr>
          <w:t>Byrd v. Hall</w:t>
        </w:r>
      </w:hyperlink>
      <w:hyperlink r:id="rId73" w:history="1">
        <w:r>
          <w:rPr>
            <w:rFonts w:ascii="arial" w:eastAsia="arial" w:hAnsi="arial" w:cs="arial"/>
            <w:b w:val="0"/>
            <w:i/>
            <w:strike w:val="0"/>
            <w:noProof w:val="0"/>
            <w:color w:val="0077CC"/>
            <w:position w:val="0"/>
            <w:sz w:val="20"/>
            <w:u w:val="single"/>
            <w:shd w:val="clear" w:color="auto" w:fill="FFFFFF"/>
            <w:vertAlign w:val="baseline"/>
          </w:rPr>
          <w:t>, 847 S.W.2d at 215</w:t>
        </w:r>
      </w:hyperlink>
      <w:r>
        <w:rPr>
          <w:rFonts w:ascii="arial" w:eastAsia="arial" w:hAnsi="arial" w:cs="arial"/>
          <w:b w:val="0"/>
          <w:i w:val="0"/>
          <w:strike w:val="0"/>
          <w:noProof w:val="0"/>
          <w:color w:val="000000"/>
          <w:position w:val="0"/>
          <w:sz w:val="20"/>
          <w:u w:val="none"/>
          <w:vertAlign w:val="baseline"/>
        </w:rPr>
        <w:t>).</w:t>
      </w:r>
    </w:p>
    <w:p>
      <w:pPr>
        <w:keepNext w:val="0"/>
        <w:widowControl w:val="0"/>
        <w:spacing w:before="240" w:after="0" w:line="260" w:lineRule="atLeast"/>
        <w:ind w:left="0" w:right="0" w:firstLine="0"/>
        <w:jc w:val="both"/>
      </w:pPr>
      <w:bookmarkStart w:id="84" w:name="Bookmark_I4XRHV0B0K1MNJ1M90000400"/>
      <w:bookmarkEnd w:id="84"/>
      <w:bookmarkStart w:id="85" w:name="Bookmark_LNHNREFclscc3"/>
      <w:bookmarkEnd w:id="85"/>
      <w:hyperlink r:id="rId74" w:history="1">
        <w:r>
          <w:rPr>
            <w:rFonts w:ascii="arial" w:eastAsia="arial" w:hAnsi="arial" w:cs="arial"/>
            <w:b/>
            <w:i/>
            <w:strike w:val="0"/>
            <w:color w:val="0077CC"/>
            <w:sz w:val="20"/>
            <w:u w:val="single"/>
            <w:shd w:val="clear" w:color="auto" w:fill="FFFFFF"/>
            <w:vertAlign w:val="baseline"/>
          </w:rPr>
          <w:t>HN3</w:t>
        </w:r>
      </w:hyperlink>
      <w:r>
        <w:rPr>
          <w:rFonts w:ascii="arial" w:eastAsia="arial" w:hAnsi="arial" w:cs="arial"/>
          <w:b w:val="0"/>
          <w:i w:val="0"/>
          <w:strike w:val="0"/>
          <w:noProof w:val="0"/>
          <w:color w:val="000000"/>
          <w:position w:val="0"/>
          <w:sz w:val="20"/>
          <w:u w:val="none"/>
          <w:vertAlign w:val="baseline"/>
        </w:rPr>
        <w:t>[</w:t>
      </w:r>
      <w:hyperlink w:anchor="Bookmark_clscc3" w:history="1">
        <w:r>
          <w:pict>
            <v:shape id="_x0000_i1048" type="#_x0000_t75" style="width:10.5pt;height:10.5pt">
              <v:imagedata r:id="rId47" o:title=""/>
            </v:shape>
          </w:pict>
        </w:r>
      </w:hyperlink>
      <w:r>
        <w:rPr>
          <w:rFonts w:ascii="arial" w:eastAsia="arial" w:hAnsi="arial" w:cs="arial"/>
          <w:b w:val="0"/>
          <w:i w:val="0"/>
          <w:strike w:val="0"/>
          <w:noProof w:val="0"/>
          <w:color w:val="000000"/>
          <w:position w:val="0"/>
          <w:sz w:val="20"/>
          <w:u w:val="none"/>
          <w:vertAlign w:val="baseline"/>
        </w:rPr>
        <w:t xml:space="preserve">] In our review, we must consider the evidence presented at the summary judgment stage in the light most favorable to the non-moving party, and we must afford that party all reasonable inferences. </w:t>
      </w:r>
      <w:bookmarkStart w:id="86" w:name="Bookmark_I4XRHV0B0K1MNJ1HK0000400"/>
      <w:bookmarkEnd w:id="86"/>
      <w:hyperlink r:id="rId75" w:history="1">
        <w:r>
          <w:rPr>
            <w:rFonts w:ascii="arial" w:eastAsia="arial" w:hAnsi="arial" w:cs="arial"/>
            <w:b w:val="0"/>
            <w:i/>
            <w:strike w:val="0"/>
            <w:noProof w:val="0"/>
            <w:color w:val="0077CC"/>
            <w:position w:val="0"/>
            <w:sz w:val="20"/>
            <w:u w:val="single"/>
            <w:shd w:val="clear" w:color="auto" w:fill="FFFFFF"/>
            <w:vertAlign w:val="baseline"/>
          </w:rPr>
          <w:t>Doe v. HCA Health Servs., Inc</w:t>
        </w:r>
      </w:hyperlink>
      <w:hyperlink r:id="rId76" w:history="1">
        <w:r>
          <w:rPr>
            <w:rFonts w:ascii="arial" w:eastAsia="arial" w:hAnsi="arial" w:cs="arial"/>
            <w:b w:val="0"/>
            <w:i/>
            <w:strike w:val="0"/>
            <w:noProof w:val="0"/>
            <w:color w:val="0077CC"/>
            <w:position w:val="0"/>
            <w:sz w:val="20"/>
            <w:u w:val="single"/>
            <w:shd w:val="clear" w:color="auto" w:fill="FFFFFF"/>
            <w:vertAlign w:val="baseline"/>
          </w:rPr>
          <w:t>., 46 S.W.3d 191, 196 (Tenn. 2001)</w:t>
        </w:r>
      </w:hyperlink>
      <w:r>
        <w:rPr>
          <w:rFonts w:ascii="arial" w:eastAsia="arial" w:hAnsi="arial" w:cs="arial"/>
          <w:b w:val="0"/>
          <w:i w:val="0"/>
          <w:strike w:val="0"/>
          <w:noProof w:val="0"/>
          <w:color w:val="000000"/>
          <w:position w:val="0"/>
          <w:sz w:val="20"/>
          <w:u w:val="none"/>
          <w:vertAlign w:val="baseline"/>
        </w:rPr>
        <w:t xml:space="preserve">; </w:t>
      </w:r>
      <w:r>
        <w:rPr>
          <w:rFonts w:ascii="arial" w:eastAsia="arial" w:hAnsi="arial" w:cs="arial"/>
          <w:b/>
          <w:i w:val="0"/>
          <w:strike w:val="0"/>
          <w:noProof w:val="0"/>
          <w:color w:val="000000"/>
          <w:position w:val="0"/>
          <w:sz w:val="20"/>
          <w:u w:val="none"/>
          <w:vertAlign w:val="baseline"/>
        </w:rPr>
        <w:t> [*12] </w:t>
      </w:r>
      <w:bookmarkStart w:id="87" w:name="Bookmark_I4XRHV0B0K1MNJ1MB0000400"/>
      <w:bookmarkEnd w:id="87"/>
      <w:hyperlink r:id="rId77" w:history="1">
        <w:r>
          <w:rPr>
            <w:rFonts w:ascii="arial" w:eastAsia="arial" w:hAnsi="arial" w:cs="arial"/>
            <w:b w:val="0"/>
            <w:i/>
            <w:strike w:val="0"/>
            <w:noProof w:val="0"/>
            <w:color w:val="0077CC"/>
            <w:position w:val="0"/>
            <w:sz w:val="20"/>
            <w:u w:val="single"/>
            <w:shd w:val="clear" w:color="auto" w:fill="FFFFFF"/>
            <w:vertAlign w:val="baseline"/>
          </w:rPr>
          <w:t>Memphis Hous. Auth. v. Thompson</w:t>
        </w:r>
      </w:hyperlink>
      <w:hyperlink r:id="rId78" w:history="1">
        <w:r>
          <w:rPr>
            <w:rFonts w:ascii="arial" w:eastAsia="arial" w:hAnsi="arial" w:cs="arial"/>
            <w:b w:val="0"/>
            <w:i/>
            <w:strike w:val="0"/>
            <w:noProof w:val="0"/>
            <w:color w:val="0077CC"/>
            <w:position w:val="0"/>
            <w:sz w:val="20"/>
            <w:u w:val="single"/>
            <w:shd w:val="clear" w:color="auto" w:fill="FFFFFF"/>
            <w:vertAlign w:val="baseline"/>
          </w:rPr>
          <w:t>, 38 S.W.3d 504, 507 (Tenn. 2001)</w:t>
        </w:r>
      </w:hyperlink>
      <w:r>
        <w:rPr>
          <w:rFonts w:ascii="arial" w:eastAsia="arial" w:hAnsi="arial" w:cs="arial"/>
          <w:b w:val="0"/>
          <w:i w:val="0"/>
          <w:strike w:val="0"/>
          <w:noProof w:val="0"/>
          <w:color w:val="000000"/>
          <w:position w:val="0"/>
          <w:sz w:val="20"/>
          <w:u w:val="none"/>
          <w:vertAlign w:val="baseline"/>
        </w:rPr>
        <w:t>.</w:t>
      </w:r>
    </w:p>
    <w:p>
      <w:pPr>
        <w:keepNext w:val="0"/>
        <w:widowControl w:val="0"/>
        <w:spacing w:before="200" w:after="0" w:line="260" w:lineRule="atLeast"/>
        <w:ind w:left="0" w:right="0" w:firstLine="0"/>
        <w:jc w:val="both"/>
      </w:pPr>
      <w:bookmarkStart w:id="88" w:name="Bookmark_I4XRHV0B0K1MNJ1MF0000400"/>
      <w:bookmarkEnd w:id="88"/>
      <w:bookmarkStart w:id="89" w:name="Bookmark_I4XRHV0B0K1MNJ22C0000400"/>
      <w:bookmarkEnd w:id="89"/>
      <w:r>
        <w:rPr>
          <w:rFonts w:ascii="arial" w:eastAsia="arial" w:hAnsi="arial" w:cs="arial"/>
          <w:b w:val="0"/>
          <w:i w:val="0"/>
          <w:strike w:val="0"/>
          <w:noProof w:val="0"/>
          <w:color w:val="000000"/>
          <w:position w:val="0"/>
          <w:sz w:val="20"/>
          <w:u w:val="none"/>
          <w:vertAlign w:val="baseline"/>
        </w:rPr>
        <w:t xml:space="preserve">"When the party seeking summary judgment makes a properly supported motion, the burden shifts to the nonmoving party to set forth specific facts establishing the existence of disputed, material facts which must be must be resolved by the trier of fact." </w:t>
      </w:r>
      <w:bookmarkStart w:id="90" w:name="Bookmark_I4XRHV0B0K1MNJ1MD0000400"/>
      <w:bookmarkEnd w:id="90"/>
      <w:hyperlink r:id="rId79" w:history="1">
        <w:r>
          <w:rPr>
            <w:rFonts w:ascii="arial" w:eastAsia="arial" w:hAnsi="arial" w:cs="arial"/>
            <w:b w:val="0"/>
            <w:i/>
            <w:strike w:val="0"/>
            <w:noProof w:val="0"/>
            <w:color w:val="0077CC"/>
            <w:position w:val="0"/>
            <w:sz w:val="20"/>
            <w:u w:val="single"/>
            <w:shd w:val="clear" w:color="auto" w:fill="FFFFFF"/>
            <w:vertAlign w:val="baseline"/>
          </w:rPr>
          <w:t xml:space="preserve">Staples v. CBL &amp; Associates </w:t>
        </w:r>
      </w:hyperlink>
      <w:hyperlink r:id="rId80" w:history="1">
        <w:r>
          <w:rPr>
            <w:rFonts w:ascii="arial" w:eastAsia="arial" w:hAnsi="arial" w:cs="arial"/>
            <w:b w:val="0"/>
            <w:i/>
            <w:strike w:val="0"/>
            <w:noProof w:val="0"/>
            <w:color w:val="0077CC"/>
            <w:position w:val="0"/>
            <w:sz w:val="20"/>
            <w:u w:val="single"/>
            <w:shd w:val="clear" w:color="auto" w:fill="FFFFFF"/>
            <w:vertAlign w:val="baseline"/>
          </w:rPr>
          <w:t>, 15 S.W.3d at 86</w:t>
        </w:r>
      </w:hyperlink>
      <w:r>
        <w:rPr>
          <w:rFonts w:ascii="arial" w:eastAsia="arial" w:hAnsi="arial" w:cs="arial"/>
          <w:b w:val="0"/>
          <w:i w:val="0"/>
          <w:strike w:val="0"/>
          <w:noProof w:val="0"/>
          <w:color w:val="000000"/>
          <w:position w:val="0"/>
          <w:sz w:val="20"/>
          <w:u w:val="none"/>
          <w:vertAlign w:val="baseline"/>
        </w:rPr>
        <w:t xml:space="preserve"> (citing </w:t>
      </w:r>
      <w:bookmarkStart w:id="91" w:name="Bookmark_I4XRHV0B0K1MNJ2280000400"/>
      <w:bookmarkEnd w:id="91"/>
      <w:hyperlink r:id="rId81" w:history="1">
        <w:r>
          <w:rPr>
            <w:rFonts w:ascii="arial" w:eastAsia="arial" w:hAnsi="arial" w:cs="arial"/>
            <w:b w:val="0"/>
            <w:i/>
            <w:strike w:val="0"/>
            <w:noProof w:val="0"/>
            <w:color w:val="0077CC"/>
            <w:position w:val="0"/>
            <w:sz w:val="20"/>
            <w:u w:val="single"/>
            <w:shd w:val="clear" w:color="auto" w:fill="FFFFFF"/>
            <w:vertAlign w:val="baseline"/>
          </w:rPr>
          <w:t>Byrd v. Hall</w:t>
        </w:r>
      </w:hyperlink>
      <w:hyperlink r:id="rId82" w:history="1">
        <w:r>
          <w:rPr>
            <w:rFonts w:ascii="arial" w:eastAsia="arial" w:hAnsi="arial" w:cs="arial"/>
            <w:b w:val="0"/>
            <w:i/>
            <w:strike w:val="0"/>
            <w:noProof w:val="0"/>
            <w:color w:val="0077CC"/>
            <w:position w:val="0"/>
            <w:sz w:val="20"/>
            <w:u w:val="single"/>
            <w:shd w:val="clear" w:color="auto" w:fill="FFFFFF"/>
            <w:vertAlign w:val="baseline"/>
          </w:rPr>
          <w:t>, 847 S.W.2d at 215</w:t>
        </w:r>
      </w:hyperlink>
      <w:r>
        <w:rPr>
          <w:rFonts w:ascii="arial" w:eastAsia="arial" w:hAnsi="arial" w:cs="arial"/>
          <w:b w:val="0"/>
          <w:i w:val="0"/>
          <w:strike w:val="0"/>
          <w:noProof w:val="0"/>
          <w:color w:val="000000"/>
          <w:position w:val="0"/>
          <w:sz w:val="20"/>
          <w:u w:val="none"/>
          <w:vertAlign w:val="baseline"/>
        </w:rPr>
        <w:t xml:space="preserve">). If, and only if, the moving party successfully negates an essential element of the nonmoving party's claim or demonstrates the nonmoving party's inability to prove an essential element at trial, the burden shifts to the non-moving party to at least create a dispute of fact as to the element. </w:t>
      </w:r>
      <w:bookmarkStart w:id="92" w:name="Bookmark_I4XRHV0B0K1MNJ22B0000400"/>
      <w:bookmarkEnd w:id="92"/>
      <w:hyperlink r:id="rId83" w:history="1">
        <w:r>
          <w:rPr>
            <w:rFonts w:ascii="arial" w:eastAsia="arial" w:hAnsi="arial" w:cs="arial"/>
            <w:b w:val="0"/>
            <w:i/>
            <w:strike w:val="0"/>
            <w:noProof w:val="0"/>
            <w:color w:val="0077CC"/>
            <w:position w:val="0"/>
            <w:sz w:val="20"/>
            <w:u w:val="single"/>
            <w:shd w:val="clear" w:color="auto" w:fill="FFFFFF"/>
            <w:vertAlign w:val="baseline"/>
          </w:rPr>
          <w:t>Hannan v. Alltel Publishing Co</w:t>
        </w:r>
      </w:hyperlink>
      <w:hyperlink r:id="rId84" w:history="1">
        <w:r>
          <w:rPr>
            <w:rFonts w:ascii="arial" w:eastAsia="arial" w:hAnsi="arial" w:cs="arial"/>
            <w:b w:val="0"/>
            <w:i/>
            <w:strike w:val="0"/>
            <w:noProof w:val="0"/>
            <w:color w:val="0077CC"/>
            <w:position w:val="0"/>
            <w:sz w:val="20"/>
            <w:u w:val="single"/>
            <w:shd w:val="clear" w:color="auto" w:fill="FFFFFF"/>
            <w:vertAlign w:val="baseline"/>
          </w:rPr>
          <w:t>., 270 S.W.3d at 7</w:t>
        </w:r>
      </w:hyperlink>
      <w:r>
        <w:rPr>
          <w:rFonts w:ascii="arial" w:eastAsia="arial" w:hAnsi="arial" w:cs="arial"/>
          <w:b w:val="0"/>
          <w:i w:val="0"/>
          <w:strike w:val="0"/>
          <w:noProof w:val="0"/>
          <w:color w:val="000000"/>
          <w:position w:val="0"/>
          <w:sz w:val="20"/>
          <w:u w:val="none"/>
          <w:vertAlign w:val="baseline"/>
        </w:rPr>
        <w:t xml:space="preserve"> (discussing </w:t>
      </w:r>
      <w:r>
        <w:rPr>
          <w:rFonts w:ascii="arial" w:eastAsia="arial" w:hAnsi="arial" w:cs="arial"/>
          <w:b w:val="0"/>
          <w:i/>
          <w:strike w:val="0"/>
          <w:noProof w:val="0"/>
          <w:color w:val="000000"/>
          <w:position w:val="0"/>
          <w:sz w:val="20"/>
          <w:u w:val="none"/>
          <w:vertAlign w:val="baseline"/>
        </w:rPr>
        <w:t>McCarley</w:t>
      </w:r>
      <w:r>
        <w:rPr>
          <w:rFonts w:ascii="arial" w:eastAsia="arial" w:hAnsi="arial" w:cs="arial"/>
          <w:b w:val="0"/>
          <w:i w:val="0"/>
          <w:strike w:val="0"/>
          <w:noProof w:val="0"/>
          <w:color w:val="000000"/>
          <w:position w:val="0"/>
          <w:sz w:val="20"/>
          <w:u w:val="none"/>
          <w:vertAlign w:val="baseline"/>
        </w:rPr>
        <w:t>).</w:t>
      </w:r>
    </w:p>
    <w:p>
      <w:pPr>
        <w:keepNext w:val="0"/>
        <w:widowControl w:val="0"/>
        <w:spacing w:before="240" w:after="0" w:line="260" w:lineRule="atLeast"/>
        <w:ind w:left="0" w:right="0" w:firstLine="0"/>
        <w:jc w:val="left"/>
      </w:pPr>
      <w:r>
        <w:br/>
      </w:r>
      <w:r>
        <w:rPr>
          <w:rFonts w:ascii="arial" w:eastAsia="arial" w:hAnsi="arial" w:cs="arial"/>
          <w:b/>
          <w:i w:val="0"/>
          <w:strike w:val="0"/>
          <w:noProof w:val="0"/>
          <w:color w:val="000000"/>
          <w:position w:val="0"/>
          <w:sz w:val="20"/>
          <w:u w:val="none"/>
          <w:vertAlign w:val="baseline"/>
        </w:rPr>
        <w:t>IV. THE STATUTE OF LIMITATIONS AND THE STATUTE OF REPOSE</w:t>
      </w:r>
    </w:p>
    <w:p>
      <w:pPr>
        <w:keepNext w:val="0"/>
        <w:widowControl w:val="0"/>
        <w:spacing w:before="20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Dr. Sowell argues that the claims against him are barred both by the applicable statute of limitation and statute of repose. In discussing the limitations issue, it is crucial to remember that plaintiff's claims pertain to two separate incidents that occurred months apart. First, Mr. Range attempts to recover for the tooth extraction in August of 2000. Second, he attempts </w:t>
      </w:r>
      <w:r>
        <w:rPr>
          <w:rFonts w:ascii="arial" w:eastAsia="arial" w:hAnsi="arial" w:cs="arial"/>
          <w:b/>
          <w:i w:val="0"/>
          <w:strike w:val="0"/>
          <w:noProof w:val="0"/>
          <w:color w:val="000000"/>
          <w:position w:val="0"/>
          <w:sz w:val="20"/>
          <w:u w:val="none"/>
          <w:vertAlign w:val="baseline"/>
        </w:rPr>
        <w:t> [*13] </w:t>
      </w:r>
      <w:r>
        <w:rPr>
          <w:rFonts w:ascii="arial" w:eastAsia="arial" w:hAnsi="arial" w:cs="arial"/>
          <w:b w:val="0"/>
          <w:i w:val="0"/>
          <w:strike w:val="0"/>
          <w:noProof w:val="0"/>
          <w:color w:val="000000"/>
          <w:position w:val="0"/>
          <w:sz w:val="20"/>
          <w:u w:val="none"/>
          <w:vertAlign w:val="baseline"/>
        </w:rPr>
        <w:t xml:space="preserve">to recover for the denture relining in November of 2001. Mr. Range alleges that Dr. Sowell is liable for both of these incidents under two legal theories; (1) that failure to get informed consent constitutes medical malpractice, and (2) that performance of the procedure without consent is medical battery. It is not necessary to parse the difference between these two claims, if any, at this juncture since the limitations period for both is one year. </w:t>
      </w:r>
      <w:r>
        <w:rPr>
          <w:rFonts w:ascii="arial" w:eastAsia="arial" w:hAnsi="arial" w:cs="arial"/>
          <w:vertAlign w:val="superscript"/>
        </w:rPr>
        <w:footnoteReference w:customMarkFollows="1" w:id="9"/>
        <w:t xml:space="preserve">8</w:t>
      </w:r>
      <w:r>
        <w:rPr>
          <w:rFonts w:ascii="arial" w:eastAsia="arial" w:hAnsi="arial" w:cs="arial"/>
          <w:b w:val="0"/>
          <w:i w:val="0"/>
          <w:strike w:val="0"/>
          <w:noProof w:val="0"/>
          <w:color w:val="000000"/>
          <w:position w:val="0"/>
          <w:sz w:val="20"/>
          <w:u w:val="none"/>
          <w:vertAlign w:val="baseline"/>
        </w:rPr>
        <w:t xml:space="preserve"> </w:t>
      </w:r>
    </w:p>
    <w:p>
      <w:pPr>
        <w:keepNext w:val="0"/>
        <w:widowControl w:val="0"/>
        <w:spacing w:before="240" w:after="0" w:line="260" w:lineRule="atLeast"/>
        <w:ind w:left="0" w:right="0" w:firstLine="0"/>
        <w:jc w:val="left"/>
      </w:pPr>
      <w:r>
        <w:br/>
      </w:r>
      <w:r>
        <w:rPr>
          <w:rFonts w:ascii="arial" w:eastAsia="arial" w:hAnsi="arial" w:cs="arial"/>
          <w:b/>
          <w:i w:val="0"/>
          <w:strike w:val="0"/>
          <w:noProof w:val="0"/>
          <w:color w:val="000000"/>
          <w:position w:val="0"/>
          <w:sz w:val="20"/>
          <w:u w:val="none"/>
          <w:vertAlign w:val="baseline"/>
        </w:rPr>
        <w:t>A. Statute of Limitation</w:t>
      </w:r>
    </w:p>
    <w:p>
      <w:pPr>
        <w:keepNext w:val="0"/>
        <w:widowControl w:val="0"/>
        <w:spacing w:before="240" w:after="0" w:line="260" w:lineRule="atLeast"/>
        <w:ind w:left="0" w:right="0" w:firstLine="0"/>
        <w:jc w:val="both"/>
      </w:pPr>
      <w:bookmarkStart w:id="96" w:name="Bookmark_I4XRHV0B0K1MNJ2540000400"/>
      <w:bookmarkEnd w:id="96"/>
      <w:bookmarkStart w:id="97" w:name="Bookmark_LNHNREFclscc4"/>
      <w:bookmarkEnd w:id="97"/>
      <w:hyperlink r:id="rId85" w:history="1">
        <w:r>
          <w:rPr>
            <w:rFonts w:ascii="arial" w:eastAsia="arial" w:hAnsi="arial" w:cs="arial"/>
            <w:b/>
            <w:i/>
            <w:strike w:val="0"/>
            <w:color w:val="0077CC"/>
            <w:sz w:val="20"/>
            <w:u w:val="single"/>
            <w:shd w:val="clear" w:color="auto" w:fill="FFFFFF"/>
            <w:vertAlign w:val="baseline"/>
          </w:rPr>
          <w:t>HN4</w:t>
        </w:r>
      </w:hyperlink>
      <w:r>
        <w:rPr>
          <w:rFonts w:ascii="arial" w:eastAsia="arial" w:hAnsi="arial" w:cs="arial"/>
          <w:b w:val="0"/>
          <w:i w:val="0"/>
          <w:strike w:val="0"/>
          <w:noProof w:val="0"/>
          <w:color w:val="000000"/>
          <w:position w:val="0"/>
          <w:sz w:val="20"/>
          <w:u w:val="none"/>
          <w:vertAlign w:val="baseline"/>
        </w:rPr>
        <w:t>[</w:t>
      </w:r>
      <w:hyperlink w:anchor="Bookmark_clscc4" w:history="1">
        <w:r>
          <w:pict>
            <v:shape id="_x0000_i1049" type="#_x0000_t75" style="width:10.5pt;height:10.5pt">
              <v:imagedata r:id="rId47" o:title=""/>
            </v:shape>
          </w:pict>
        </w:r>
      </w:hyperlink>
      <w:r>
        <w:rPr>
          <w:rFonts w:ascii="arial" w:eastAsia="arial" w:hAnsi="arial" w:cs="arial"/>
          <w:b w:val="0"/>
          <w:i w:val="0"/>
          <w:strike w:val="0"/>
          <w:noProof w:val="0"/>
          <w:color w:val="000000"/>
          <w:position w:val="0"/>
          <w:sz w:val="20"/>
          <w:u w:val="none"/>
          <w:vertAlign w:val="baseline"/>
        </w:rPr>
        <w:t xml:space="preserve">] Statutes of limitations are enacted for the purposes of encouraging injured parties to pursue their legal remedies in a prompt manner and to protect defendants from stale claims and vexatious litigation. The rationale behind them is the presumption that </w:t>
      </w:r>
      <w:r>
        <w:rPr>
          <w:rFonts w:ascii="arial" w:eastAsia="arial" w:hAnsi="arial" w:cs="arial"/>
          <w:b/>
          <w:i w:val="0"/>
          <w:strike w:val="0"/>
          <w:noProof w:val="0"/>
          <w:color w:val="000000"/>
          <w:position w:val="0"/>
          <w:sz w:val="20"/>
          <w:u w:val="none"/>
          <w:vertAlign w:val="baseline"/>
        </w:rPr>
        <w:t> [*14] </w:t>
      </w:r>
      <w:r>
        <w:rPr>
          <w:rFonts w:ascii="arial" w:eastAsia="arial" w:hAnsi="arial" w:cs="arial"/>
          <w:b w:val="0"/>
          <w:i w:val="0"/>
          <w:strike w:val="0"/>
          <w:noProof w:val="0"/>
          <w:color w:val="000000"/>
          <w:position w:val="0"/>
          <w:sz w:val="20"/>
          <w:u w:val="none"/>
          <w:vertAlign w:val="baseline"/>
        </w:rPr>
        <w:t xml:space="preserve">a person having a well-founded claim will not delay enforcing it beyond a reasonable time if he has the power to sue. </w:t>
      </w:r>
      <w:bookmarkStart w:id="98" w:name="Bookmark_I4XRHV0B0K1MNJ2530000400"/>
      <w:bookmarkEnd w:id="98"/>
      <w:hyperlink r:id="rId86" w:history="1">
        <w:r>
          <w:rPr>
            <w:rFonts w:ascii="arial" w:eastAsia="arial" w:hAnsi="arial" w:cs="arial"/>
            <w:b w:val="0"/>
            <w:i/>
            <w:strike w:val="0"/>
            <w:noProof w:val="0"/>
            <w:color w:val="0077CC"/>
            <w:position w:val="0"/>
            <w:sz w:val="20"/>
            <w:u w:val="single"/>
            <w:shd w:val="clear" w:color="auto" w:fill="FFFFFF"/>
            <w:vertAlign w:val="baseline"/>
          </w:rPr>
          <w:t xml:space="preserve">Vason v. Nickey </w:t>
        </w:r>
      </w:hyperlink>
      <w:hyperlink r:id="rId87" w:history="1">
        <w:r>
          <w:rPr>
            <w:rFonts w:ascii="arial" w:eastAsia="arial" w:hAnsi="arial" w:cs="arial"/>
            <w:b w:val="0"/>
            <w:i/>
            <w:strike w:val="0"/>
            <w:noProof w:val="0"/>
            <w:color w:val="0077CC"/>
            <w:position w:val="0"/>
            <w:sz w:val="20"/>
            <w:u w:val="single"/>
            <w:shd w:val="clear" w:color="auto" w:fill="FFFFFF"/>
            <w:vertAlign w:val="baseline"/>
          </w:rPr>
          <w:t>, 438 F.2d 242, 244 (6th Circuit 1971)</w:t>
        </w:r>
      </w:hyperlink>
      <w:r>
        <w:rPr>
          <w:rFonts w:ascii="arial" w:eastAsia="arial" w:hAnsi="arial" w:cs="arial"/>
          <w:b w:val="0"/>
          <w:i w:val="0"/>
          <w:strike w:val="0"/>
          <w:noProof w:val="0"/>
          <w:color w:val="000000"/>
          <w:position w:val="0"/>
          <w:sz w:val="20"/>
          <w:u w:val="none"/>
          <w:vertAlign w:val="baseline"/>
        </w:rPr>
        <w:t xml:space="preserve"> (quoting </w:t>
      </w:r>
      <w:bookmarkStart w:id="99" w:name="Bookmark_I4XRHV0B0K1MNJ2550000400"/>
      <w:bookmarkEnd w:id="99"/>
      <w:hyperlink r:id="rId88" w:history="1">
        <w:r>
          <w:rPr>
            <w:rFonts w:ascii="arial" w:eastAsia="arial" w:hAnsi="arial" w:cs="arial"/>
            <w:b w:val="0"/>
            <w:i/>
            <w:strike w:val="0"/>
            <w:noProof w:val="0"/>
            <w:color w:val="0077CC"/>
            <w:position w:val="0"/>
            <w:sz w:val="20"/>
            <w:u w:val="single"/>
            <w:shd w:val="clear" w:color="auto" w:fill="FFFFFF"/>
            <w:vertAlign w:val="baseline"/>
          </w:rPr>
          <w:t>Hackworth v. Ralston Purina Co</w:t>
        </w:r>
      </w:hyperlink>
      <w:hyperlink r:id="rId89" w:history="1">
        <w:r>
          <w:rPr>
            <w:rFonts w:ascii="arial" w:eastAsia="arial" w:hAnsi="arial" w:cs="arial"/>
            <w:b w:val="0"/>
            <w:i/>
            <w:strike w:val="0"/>
            <w:noProof w:val="0"/>
            <w:color w:val="0077CC"/>
            <w:position w:val="0"/>
            <w:sz w:val="20"/>
            <w:u w:val="single"/>
            <w:shd w:val="clear" w:color="auto" w:fill="FFFFFF"/>
            <w:vertAlign w:val="baseline"/>
          </w:rPr>
          <w:t>., 214 Tenn. 506, 381 S.W.2d 292, 294 (Tenn. 1964))</w:t>
        </w:r>
      </w:hyperlink>
      <w:r>
        <w:rPr>
          <w:rFonts w:ascii="arial" w:eastAsia="arial" w:hAnsi="arial" w:cs="arial"/>
          <w:b w:val="0"/>
          <w:i w:val="0"/>
          <w:strike w:val="0"/>
          <w:noProof w:val="0"/>
          <w:color w:val="000000"/>
          <w:position w:val="0"/>
          <w:sz w:val="20"/>
          <w:u w:val="none"/>
          <w:vertAlign w:val="baseline"/>
        </w:rPr>
        <w:t>.</w:t>
      </w:r>
    </w:p>
    <w:p>
      <w:pPr>
        <w:keepNext w:val="0"/>
        <w:widowControl w:val="0"/>
        <w:spacing w:before="200" w:after="0" w:line="260" w:lineRule="atLeast"/>
        <w:ind w:left="0" w:right="0" w:firstLine="0"/>
        <w:jc w:val="both"/>
      </w:pPr>
      <w:bookmarkStart w:id="100" w:name="Bookmark_I4XRHV0B0K1MNJ2H30000400"/>
      <w:bookmarkEnd w:id="100"/>
      <w:r>
        <w:rPr>
          <w:rFonts w:ascii="arial" w:eastAsia="arial" w:hAnsi="arial" w:cs="arial"/>
          <w:b w:val="0"/>
          <w:i w:val="0"/>
          <w:strike w:val="0"/>
          <w:noProof w:val="0"/>
          <w:color w:val="000000"/>
          <w:position w:val="0"/>
          <w:sz w:val="20"/>
          <w:u w:val="none"/>
          <w:vertAlign w:val="baseline"/>
        </w:rPr>
        <w:t>Such statutes are not disfavored, for they are expressions of public policy which give plaintiffs</w:t>
      </w:r>
    </w:p>
    <w:p>
      <w:pPr>
        <w:keepNext w:val="0"/>
        <w:widowControl w:val="0"/>
        <w:spacing w:before="200" w:after="0" w:line="260" w:lineRule="atLeast"/>
        <w:ind w:left="400" w:right="0" w:firstLine="0"/>
        <w:jc w:val="both"/>
      </w:pPr>
      <w:bookmarkStart w:id="101" w:name="Bookmark_I4XRHV0B0K1MNJ2H30000400_2"/>
      <w:bookmarkEnd w:id="101"/>
      <w:r>
        <w:rPr>
          <w:rFonts w:ascii="arial" w:eastAsia="arial" w:hAnsi="arial" w:cs="arial"/>
          <w:b w:val="0"/>
          <w:i w:val="0"/>
          <w:strike w:val="0"/>
          <w:noProof w:val="0"/>
          <w:color w:val="000000"/>
          <w:position w:val="0"/>
          <w:sz w:val="20"/>
          <w:u w:val="none"/>
          <w:vertAlign w:val="baseline"/>
        </w:rPr>
        <w:t>. . . what the legislature deems to be a reasonable time to present their claims; and it protects defendant and the courts from having to deal with stale cases where the search for the truth and justice may be seriously impeded by the death or disappearance of witnesses, fading memories, disappearance of documents or other loss of material evidence.</w:t>
      </w:r>
    </w:p>
    <w:p>
      <w:pPr>
        <w:keepNext w:val="0"/>
        <w:widowControl w:val="0"/>
        <w:spacing w:before="240" w:after="0" w:line="260" w:lineRule="atLeast"/>
        <w:ind w:left="0" w:right="0" w:firstLine="0"/>
        <w:jc w:val="both"/>
      </w:pPr>
      <w:bookmarkStart w:id="102" w:name="Bookmark_I4XRHV0B0K1MNJ2H30000400_3"/>
      <w:bookmarkEnd w:id="102"/>
      <w:bookmarkStart w:id="103" w:name="Bookmark_I4XRHV0B0K1MNJ2H20000400"/>
      <w:bookmarkEnd w:id="103"/>
      <w:hyperlink r:id="rId90" w:history="1">
        <w:r>
          <w:rPr>
            <w:rFonts w:ascii="arial" w:eastAsia="arial" w:hAnsi="arial" w:cs="arial"/>
            <w:b w:val="0"/>
            <w:i/>
            <w:strike w:val="0"/>
            <w:color w:val="0077CC"/>
            <w:sz w:val="20"/>
            <w:u w:val="single"/>
            <w:shd w:val="clear" w:color="auto" w:fill="FFFFFF"/>
            <w:vertAlign w:val="baseline"/>
          </w:rPr>
          <w:t>Wyatt v. ACandS, Inc.</w:t>
        </w:r>
      </w:hyperlink>
      <w:hyperlink r:id="rId91" w:history="1">
        <w:r>
          <w:rPr>
            <w:rFonts w:ascii="arial" w:eastAsia="arial" w:hAnsi="arial" w:cs="arial"/>
            <w:b w:val="0"/>
            <w:i/>
            <w:strike w:val="0"/>
            <w:color w:val="0077CC"/>
            <w:sz w:val="20"/>
            <w:u w:val="single"/>
            <w:shd w:val="clear" w:color="auto" w:fill="FFFFFF"/>
            <w:vertAlign w:val="baseline"/>
          </w:rPr>
          <w:t>, 910 S.W.2d 851, 855 (Tenn. 1995)</w:t>
        </w:r>
      </w:hyperlink>
      <w:r>
        <w:rPr>
          <w:rFonts w:ascii="arial" w:eastAsia="arial" w:hAnsi="arial" w:cs="arial"/>
          <w:b w:val="0"/>
          <w:i w:val="0"/>
          <w:strike w:val="0"/>
          <w:noProof w:val="0"/>
          <w:color w:val="000000"/>
          <w:position w:val="0"/>
          <w:sz w:val="20"/>
          <w:u w:val="none"/>
          <w:vertAlign w:val="baseline"/>
        </w:rPr>
        <w:t xml:space="preserve"> (citing </w:t>
      </w:r>
      <w:bookmarkStart w:id="104" w:name="Bookmark_I4XRHV0B0K1MNJ2H40000400"/>
      <w:bookmarkEnd w:id="104"/>
      <w:hyperlink r:id="rId92" w:history="1">
        <w:r>
          <w:rPr>
            <w:rFonts w:ascii="arial" w:eastAsia="arial" w:hAnsi="arial" w:cs="arial"/>
            <w:b w:val="0"/>
            <w:i/>
            <w:strike w:val="0"/>
            <w:noProof w:val="0"/>
            <w:color w:val="0077CC"/>
            <w:position w:val="0"/>
            <w:sz w:val="20"/>
            <w:u w:val="single"/>
            <w:shd w:val="clear" w:color="auto" w:fill="FFFFFF"/>
            <w:vertAlign w:val="baseline"/>
          </w:rPr>
          <w:t>Spence v. Miles Laboratories, Inc</w:t>
        </w:r>
      </w:hyperlink>
      <w:hyperlink r:id="rId93" w:history="1">
        <w:r>
          <w:rPr>
            <w:rFonts w:ascii="arial" w:eastAsia="arial" w:hAnsi="arial" w:cs="arial"/>
            <w:b w:val="0"/>
            <w:i/>
            <w:strike w:val="0"/>
            <w:noProof w:val="0"/>
            <w:color w:val="0077CC"/>
            <w:position w:val="0"/>
            <w:sz w:val="20"/>
            <w:u w:val="single"/>
            <w:shd w:val="clear" w:color="auto" w:fill="FFFFFF"/>
            <w:vertAlign w:val="baseline"/>
          </w:rPr>
          <w:t>., 810 F.Supp. 952, 964 (E.D. Tenn. 1992))</w:t>
        </w:r>
      </w:hyperlink>
      <w:r>
        <w:rPr>
          <w:rFonts w:ascii="arial" w:eastAsia="arial" w:hAnsi="arial" w:cs="arial"/>
          <w:b w:val="0"/>
          <w:i w:val="0"/>
          <w:strike w:val="0"/>
          <w:noProof w:val="0"/>
          <w:color w:val="000000"/>
          <w:position w:val="0"/>
          <w:sz w:val="20"/>
          <w:u w:val="none"/>
          <w:vertAlign w:val="baseline"/>
        </w:rPr>
        <w:t>.</w:t>
      </w:r>
    </w:p>
    <w:p>
      <w:pPr>
        <w:keepNext w:val="0"/>
        <w:widowControl w:val="0"/>
        <w:spacing w:before="240" w:after="0" w:line="260" w:lineRule="atLeast"/>
        <w:ind w:left="0" w:right="0" w:firstLine="0"/>
        <w:jc w:val="both"/>
      </w:pPr>
      <w:bookmarkStart w:id="105" w:name="Bookmark_I4XRHV0B0K1MNJ2R40000400"/>
      <w:bookmarkEnd w:id="105"/>
      <w:bookmarkStart w:id="106" w:name="Bookmark_LNHNREFclscc5"/>
      <w:bookmarkEnd w:id="106"/>
      <w:hyperlink r:id="rId94" w:history="1">
        <w:r>
          <w:rPr>
            <w:rFonts w:ascii="arial" w:eastAsia="arial" w:hAnsi="arial" w:cs="arial"/>
            <w:b/>
            <w:i/>
            <w:strike w:val="0"/>
            <w:color w:val="0077CC"/>
            <w:sz w:val="20"/>
            <w:u w:val="single"/>
            <w:shd w:val="clear" w:color="auto" w:fill="FFFFFF"/>
            <w:vertAlign w:val="baseline"/>
          </w:rPr>
          <w:t>HN5</w:t>
        </w:r>
      </w:hyperlink>
      <w:r>
        <w:rPr>
          <w:rFonts w:ascii="arial" w:eastAsia="arial" w:hAnsi="arial" w:cs="arial"/>
          <w:b w:val="0"/>
          <w:i w:val="0"/>
          <w:strike w:val="0"/>
          <w:noProof w:val="0"/>
          <w:color w:val="000000"/>
          <w:position w:val="0"/>
          <w:sz w:val="20"/>
          <w:u w:val="none"/>
          <w:vertAlign w:val="baseline"/>
        </w:rPr>
        <w:t>[</w:t>
      </w:r>
      <w:hyperlink w:anchor="Bookmark_clscc5" w:history="1">
        <w:r>
          <w:pict>
            <v:shape id="_x0000_i1050" type="#_x0000_t75" style="width:10.5pt;height:10.5pt">
              <v:imagedata r:id="rId47" o:title=""/>
            </v:shape>
          </w:pict>
        </w:r>
      </w:hyperlink>
      <w:r>
        <w:rPr>
          <w:rFonts w:ascii="arial" w:eastAsia="arial" w:hAnsi="arial" w:cs="arial"/>
          <w:b w:val="0"/>
          <w:i w:val="0"/>
          <w:strike w:val="0"/>
          <w:noProof w:val="0"/>
          <w:color w:val="000000"/>
          <w:position w:val="0"/>
          <w:sz w:val="20"/>
          <w:u w:val="none"/>
          <w:vertAlign w:val="baseline"/>
        </w:rPr>
        <w:t xml:space="preserve">] Statutes of limitation are held to run from the date that the cause of action accrues, which in most cases means the date of the alleged injury. To mitigate the possibly harsh effects that could result from too inflexible an application of the statute of limitations, our courts created an exception to the statute in the form of the "discovery doctrine," which </w:t>
      </w:r>
      <w:r>
        <w:rPr>
          <w:rFonts w:ascii="arial" w:eastAsia="arial" w:hAnsi="arial" w:cs="arial"/>
          <w:b/>
          <w:i w:val="0"/>
          <w:strike w:val="0"/>
          <w:noProof w:val="0"/>
          <w:color w:val="000000"/>
          <w:position w:val="0"/>
          <w:sz w:val="20"/>
          <w:u w:val="none"/>
          <w:vertAlign w:val="baseline"/>
        </w:rPr>
        <w:t> [*15] </w:t>
      </w:r>
      <w:r>
        <w:rPr>
          <w:rFonts w:ascii="arial" w:eastAsia="arial" w:hAnsi="arial" w:cs="arial"/>
          <w:b w:val="0"/>
          <w:i w:val="0"/>
          <w:strike w:val="0"/>
          <w:noProof w:val="0"/>
          <w:color w:val="000000"/>
          <w:position w:val="0"/>
          <w:sz w:val="20"/>
          <w:u w:val="none"/>
          <w:vertAlign w:val="baseline"/>
        </w:rPr>
        <w:t xml:space="preserve">states that a plaintiff's cause of action does not accrue until the plaintiff discovers, or when in the exercise of reasonable care should have discovered, that he has been injured. </w:t>
      </w:r>
      <w:bookmarkStart w:id="107" w:name="Bookmark_I4XRHV0B0K1MNJ2H60000400"/>
      <w:bookmarkEnd w:id="107"/>
      <w:hyperlink r:id="rId95" w:history="1">
        <w:r>
          <w:rPr>
            <w:rFonts w:ascii="arial" w:eastAsia="arial" w:hAnsi="arial" w:cs="arial"/>
            <w:b w:val="0"/>
            <w:i/>
            <w:strike w:val="0"/>
            <w:noProof w:val="0"/>
            <w:color w:val="0077CC"/>
            <w:position w:val="0"/>
            <w:sz w:val="20"/>
            <w:u w:val="single"/>
            <w:shd w:val="clear" w:color="auto" w:fill="FFFFFF"/>
            <w:vertAlign w:val="baseline"/>
          </w:rPr>
          <w:t>Pero's Steak and Spaghetti House</w:t>
        </w:r>
      </w:hyperlink>
      <w:hyperlink r:id="rId96" w:history="1">
        <w:r>
          <w:rPr>
            <w:rFonts w:ascii="arial" w:eastAsia="arial" w:hAnsi="arial" w:cs="arial"/>
            <w:b w:val="0"/>
            <w:i/>
            <w:strike w:val="0"/>
            <w:noProof w:val="0"/>
            <w:color w:val="0077CC"/>
            <w:position w:val="0"/>
            <w:sz w:val="20"/>
            <w:u w:val="single"/>
            <w:shd w:val="clear" w:color="auto" w:fill="FFFFFF"/>
            <w:vertAlign w:val="baseline"/>
          </w:rPr>
          <w:t>, 90 S.W.3d at 621</w:t>
        </w:r>
      </w:hyperlink>
      <w:r>
        <w:rPr>
          <w:rFonts w:ascii="arial" w:eastAsia="arial" w:hAnsi="arial" w:cs="arial"/>
          <w:b w:val="0"/>
          <w:i w:val="0"/>
          <w:strike w:val="0"/>
          <w:noProof w:val="0"/>
          <w:color w:val="000000"/>
          <w:position w:val="0"/>
          <w:sz w:val="20"/>
          <w:u w:val="none"/>
          <w:vertAlign w:val="baseline"/>
        </w:rPr>
        <w:t xml:space="preserve">; </w:t>
      </w:r>
      <w:bookmarkStart w:id="108" w:name="Bookmark_I4XRHV0B0K1MNJ2R50000400"/>
      <w:bookmarkEnd w:id="108"/>
      <w:hyperlink r:id="rId97" w:history="1">
        <w:r>
          <w:rPr>
            <w:rFonts w:ascii="arial" w:eastAsia="arial" w:hAnsi="arial" w:cs="arial"/>
            <w:b w:val="0"/>
            <w:i/>
            <w:strike w:val="0"/>
            <w:noProof w:val="0"/>
            <w:color w:val="0077CC"/>
            <w:position w:val="0"/>
            <w:sz w:val="20"/>
            <w:u w:val="single"/>
            <w:shd w:val="clear" w:color="auto" w:fill="FFFFFF"/>
            <w:vertAlign w:val="baseline"/>
          </w:rPr>
          <w:t>Stanbury v. Bacardi</w:t>
        </w:r>
      </w:hyperlink>
      <w:hyperlink r:id="rId98" w:history="1">
        <w:r>
          <w:rPr>
            <w:rFonts w:ascii="arial" w:eastAsia="arial" w:hAnsi="arial" w:cs="arial"/>
            <w:b w:val="0"/>
            <w:i/>
            <w:strike w:val="0"/>
            <w:noProof w:val="0"/>
            <w:color w:val="0077CC"/>
            <w:position w:val="0"/>
            <w:sz w:val="20"/>
            <w:u w:val="single"/>
            <w:shd w:val="clear" w:color="auto" w:fill="FFFFFF"/>
            <w:vertAlign w:val="baseline"/>
          </w:rPr>
          <w:t>, 953 S.W.2d 671, 675 (Tenn. 1997)</w:t>
        </w:r>
      </w:hyperlink>
      <w:r>
        <w:rPr>
          <w:rFonts w:ascii="arial" w:eastAsia="arial" w:hAnsi="arial" w:cs="arial"/>
          <w:b w:val="0"/>
          <w:i w:val="0"/>
          <w:strike w:val="0"/>
          <w:noProof w:val="0"/>
          <w:color w:val="000000"/>
          <w:position w:val="0"/>
          <w:sz w:val="20"/>
          <w:u w:val="none"/>
          <w:vertAlign w:val="baseline"/>
        </w:rPr>
        <w:t xml:space="preserve">; </w:t>
      </w:r>
      <w:bookmarkStart w:id="109" w:name="Bookmark_I4XRHV0B0K1MNJ2R70000400"/>
      <w:bookmarkEnd w:id="109"/>
      <w:hyperlink r:id="rId99" w:history="1">
        <w:r>
          <w:rPr>
            <w:rFonts w:ascii="arial" w:eastAsia="arial" w:hAnsi="arial" w:cs="arial"/>
            <w:b w:val="0"/>
            <w:i/>
            <w:strike w:val="0"/>
            <w:noProof w:val="0"/>
            <w:color w:val="0077CC"/>
            <w:position w:val="0"/>
            <w:sz w:val="20"/>
            <w:u w:val="single"/>
            <w:shd w:val="clear" w:color="auto" w:fill="FFFFFF"/>
            <w:vertAlign w:val="baseline"/>
          </w:rPr>
          <w:t xml:space="preserve">Hoffman v. Hospital Affiliates, Inc </w:t>
        </w:r>
      </w:hyperlink>
      <w:hyperlink r:id="rId100" w:history="1">
        <w:r>
          <w:rPr>
            <w:rFonts w:ascii="arial" w:eastAsia="arial" w:hAnsi="arial" w:cs="arial"/>
            <w:b w:val="0"/>
            <w:i/>
            <w:strike w:val="0"/>
            <w:noProof w:val="0"/>
            <w:color w:val="0077CC"/>
            <w:position w:val="0"/>
            <w:sz w:val="20"/>
            <w:u w:val="single"/>
            <w:shd w:val="clear" w:color="auto" w:fill="FFFFFF"/>
            <w:vertAlign w:val="baseline"/>
          </w:rPr>
          <w:t>., 652 S.W.2d 341, 342 (Tenn. 1983)</w:t>
        </w:r>
      </w:hyperlink>
      <w:r>
        <w:rPr>
          <w:rFonts w:ascii="arial" w:eastAsia="arial" w:hAnsi="arial" w:cs="arial"/>
          <w:b w:val="0"/>
          <w:i w:val="0"/>
          <w:strike w:val="0"/>
          <w:noProof w:val="0"/>
          <w:color w:val="000000"/>
          <w:position w:val="0"/>
          <w:sz w:val="20"/>
          <w:u w:val="none"/>
          <w:vertAlign w:val="baseline"/>
        </w:rPr>
        <w:t xml:space="preserve">; </w:t>
      </w:r>
      <w:bookmarkStart w:id="110" w:name="Bookmark_I4XRHV0B0K1MNJ2W10000400"/>
      <w:bookmarkEnd w:id="110"/>
      <w:hyperlink r:id="rId101" w:history="1">
        <w:r>
          <w:rPr>
            <w:rFonts w:ascii="arial" w:eastAsia="arial" w:hAnsi="arial" w:cs="arial"/>
            <w:b w:val="0"/>
            <w:i/>
            <w:strike w:val="0"/>
            <w:noProof w:val="0"/>
            <w:color w:val="0077CC"/>
            <w:position w:val="0"/>
            <w:sz w:val="20"/>
            <w:u w:val="single"/>
            <w:shd w:val="clear" w:color="auto" w:fill="FFFFFF"/>
            <w:vertAlign w:val="baseline"/>
          </w:rPr>
          <w:t>Teeters v. Curry</w:t>
        </w:r>
      </w:hyperlink>
      <w:hyperlink r:id="rId102" w:history="1">
        <w:r>
          <w:rPr>
            <w:rFonts w:ascii="arial" w:eastAsia="arial" w:hAnsi="arial" w:cs="arial"/>
            <w:b w:val="0"/>
            <w:i/>
            <w:strike w:val="0"/>
            <w:noProof w:val="0"/>
            <w:color w:val="0077CC"/>
            <w:position w:val="0"/>
            <w:sz w:val="20"/>
            <w:u w:val="single"/>
            <w:shd w:val="clear" w:color="auto" w:fill="FFFFFF"/>
            <w:vertAlign w:val="baseline"/>
          </w:rPr>
          <w:t>, 518 S.W.2d 512, 515 (Tenn. 1974)</w:t>
        </w:r>
      </w:hyperlink>
      <w:r>
        <w:rPr>
          <w:rFonts w:ascii="arial" w:eastAsia="arial" w:hAnsi="arial" w:cs="arial"/>
          <w:b w:val="0"/>
          <w:i w:val="0"/>
          <w:strike w:val="0"/>
          <w:noProof w:val="0"/>
          <w:color w:val="000000"/>
          <w:position w:val="0"/>
          <w:sz w:val="20"/>
          <w:u w:val="none"/>
          <w:vertAlign w:val="baseline"/>
        </w:rPr>
        <w:t>.</w:t>
      </w:r>
    </w:p>
    <w:p>
      <w:pPr>
        <w:keepNext w:val="0"/>
        <w:widowControl w:val="0"/>
        <w:spacing w:before="240" w:after="0" w:line="260" w:lineRule="atLeast"/>
        <w:ind w:left="0" w:right="0" w:firstLine="0"/>
        <w:jc w:val="left"/>
      </w:pPr>
      <w:r>
        <w:br/>
      </w:r>
      <w:r>
        <w:rPr>
          <w:rFonts w:ascii="arial" w:eastAsia="arial" w:hAnsi="arial" w:cs="arial"/>
          <w:b/>
          <w:i w:val="0"/>
          <w:strike w:val="0"/>
          <w:noProof w:val="0"/>
          <w:color w:val="000000"/>
          <w:position w:val="0"/>
          <w:sz w:val="20"/>
          <w:u w:val="none"/>
          <w:vertAlign w:val="baseline"/>
        </w:rPr>
        <w:t>B. Statute of Repose</w:t>
      </w:r>
    </w:p>
    <w:p>
      <w:pPr>
        <w:keepNext w:val="0"/>
        <w:widowControl w:val="0"/>
        <w:spacing w:before="240" w:after="0" w:line="260" w:lineRule="atLeast"/>
        <w:ind w:left="0" w:right="0" w:firstLine="0"/>
        <w:jc w:val="both"/>
      </w:pPr>
      <w:bookmarkStart w:id="111" w:name="Bookmark_LNHNREFclscc6"/>
      <w:bookmarkEnd w:id="111"/>
      <w:hyperlink r:id="rId103" w:history="1">
        <w:r>
          <w:rPr>
            <w:rFonts w:ascii="arial" w:eastAsia="arial" w:hAnsi="arial" w:cs="arial"/>
            <w:b/>
            <w:i/>
            <w:strike w:val="0"/>
            <w:color w:val="0077CC"/>
            <w:sz w:val="20"/>
            <w:u w:val="single"/>
            <w:shd w:val="clear" w:color="auto" w:fill="FFFFFF"/>
            <w:vertAlign w:val="baseline"/>
          </w:rPr>
          <w:t>HN6</w:t>
        </w:r>
      </w:hyperlink>
      <w:r>
        <w:rPr>
          <w:rFonts w:ascii="arial" w:eastAsia="arial" w:hAnsi="arial" w:cs="arial"/>
          <w:b w:val="0"/>
          <w:i w:val="0"/>
          <w:strike w:val="0"/>
          <w:noProof w:val="0"/>
          <w:color w:val="000000"/>
          <w:position w:val="0"/>
          <w:sz w:val="20"/>
          <w:u w:val="none"/>
          <w:vertAlign w:val="baseline"/>
        </w:rPr>
        <w:t>[</w:t>
      </w:r>
      <w:hyperlink w:anchor="Bookmark_clscc6" w:history="1">
        <w:r>
          <w:pict>
            <v:shape id="_x0000_i1051" type="#_x0000_t75" style="width:10.5pt;height:10.5pt">
              <v:imagedata r:id="rId47" o:title=""/>
            </v:shape>
          </w:pict>
        </w:r>
      </w:hyperlink>
      <w:r>
        <w:rPr>
          <w:rFonts w:ascii="arial" w:eastAsia="arial" w:hAnsi="arial" w:cs="arial"/>
          <w:b w:val="0"/>
          <w:i w:val="0"/>
          <w:strike w:val="0"/>
          <w:noProof w:val="0"/>
          <w:color w:val="000000"/>
          <w:position w:val="0"/>
          <w:sz w:val="20"/>
          <w:u w:val="none"/>
          <w:vertAlign w:val="baseline"/>
        </w:rPr>
        <w:t xml:space="preserve">] Our legislature has also established statutes of repose in specific types of cases, such as those involving medical malpractice (three years), to place an outer limit or ceiling on the time in which an action may be brought. </w:t>
      </w:r>
      <w:bookmarkStart w:id="112" w:name="Bookmark_I4XRHV0B0K1MNJ2W40000400"/>
      <w:bookmarkEnd w:id="112"/>
      <w:r>
        <w:rPr>
          <w:rFonts w:ascii="arial" w:eastAsia="arial" w:hAnsi="arial" w:cs="arial"/>
          <w:b w:val="0"/>
          <w:i/>
          <w:strike w:val="0"/>
          <w:noProof w:val="0"/>
          <w:color w:val="000000"/>
          <w:position w:val="0"/>
          <w:sz w:val="20"/>
          <w:u w:val="none"/>
          <w:vertAlign w:val="baseline"/>
        </w:rPr>
        <w:t>See</w:t>
      </w:r>
      <w:r>
        <w:rPr>
          <w:rFonts w:ascii="arial" w:eastAsia="arial" w:hAnsi="arial" w:cs="arial"/>
          <w:b w:val="0"/>
          <w:i w:val="0"/>
          <w:strike w:val="0"/>
          <w:noProof w:val="0"/>
          <w:color w:val="000000"/>
          <w:position w:val="0"/>
          <w:sz w:val="20"/>
          <w:u w:val="none"/>
          <w:vertAlign w:val="baseline"/>
        </w:rPr>
        <w:t xml:space="preserve"> </w:t>
      </w:r>
      <w:hyperlink r:id="rId104" w:history="1">
        <w:r>
          <w:rPr>
            <w:rFonts w:ascii="arial" w:eastAsia="arial" w:hAnsi="arial" w:cs="arial"/>
            <w:b w:val="0"/>
            <w:i/>
            <w:strike w:val="0"/>
            <w:noProof w:val="0"/>
            <w:color w:val="0077CC"/>
            <w:position w:val="0"/>
            <w:sz w:val="20"/>
            <w:u w:val="single"/>
            <w:shd w:val="clear" w:color="auto" w:fill="FFFFFF"/>
            <w:vertAlign w:val="baseline"/>
          </w:rPr>
          <w:t>Tenn. Code Ann. § 29-26-116(a)(3)</w:t>
        </w:r>
      </w:hyperlink>
      <w:r>
        <w:rPr>
          <w:rFonts w:ascii="arial" w:eastAsia="arial" w:hAnsi="arial" w:cs="arial"/>
          <w:b w:val="0"/>
          <w:i w:val="0"/>
          <w:strike w:val="0"/>
          <w:noProof w:val="0"/>
          <w:color w:val="000000"/>
          <w:position w:val="0"/>
          <w:sz w:val="20"/>
          <w:u w:val="none"/>
          <w:vertAlign w:val="baseline"/>
        </w:rPr>
        <w:t xml:space="preserve">. Without such a ceiling, the operation of the discovery rule would potentially allow a plaintiff to extend the statute of limitations indefinitely. </w:t>
      </w:r>
      <w:bookmarkStart w:id="113" w:name="Bookmark_I4XRHV0B0K1MNJ2W30000400"/>
      <w:bookmarkEnd w:id="113"/>
      <w:hyperlink r:id="rId105" w:history="1">
        <w:r>
          <w:rPr>
            <w:rFonts w:ascii="arial" w:eastAsia="arial" w:hAnsi="arial" w:cs="arial"/>
            <w:b w:val="0"/>
            <w:i/>
            <w:strike w:val="0"/>
            <w:noProof w:val="0"/>
            <w:color w:val="0077CC"/>
            <w:position w:val="0"/>
            <w:sz w:val="20"/>
            <w:u w:val="single"/>
            <w:shd w:val="clear" w:color="auto" w:fill="FFFFFF"/>
            <w:vertAlign w:val="baseline"/>
          </w:rPr>
          <w:t>Bruce v. Hamilton</w:t>
        </w:r>
      </w:hyperlink>
      <w:hyperlink r:id="rId106" w:history="1">
        <w:r>
          <w:rPr>
            <w:rFonts w:ascii="arial" w:eastAsia="arial" w:hAnsi="arial" w:cs="arial"/>
            <w:b w:val="0"/>
            <w:i/>
            <w:strike w:val="0"/>
            <w:noProof w:val="0"/>
            <w:color w:val="0077CC"/>
            <w:position w:val="0"/>
            <w:sz w:val="20"/>
            <w:u w:val="single"/>
            <w:shd w:val="clear" w:color="auto" w:fill="FFFFFF"/>
            <w:vertAlign w:val="baseline"/>
          </w:rPr>
          <w:t>, 894 S.W.2d 274, 276 (Tenn. Ct. App. 1993)</w:t>
        </w:r>
      </w:hyperlink>
      <w:r>
        <w:rPr>
          <w:rFonts w:ascii="arial" w:eastAsia="arial" w:hAnsi="arial" w:cs="arial"/>
          <w:b w:val="0"/>
          <w:i w:val="0"/>
          <w:strike w:val="0"/>
          <w:noProof w:val="0"/>
          <w:color w:val="000000"/>
          <w:position w:val="0"/>
          <w:sz w:val="20"/>
          <w:u w:val="none"/>
          <w:vertAlign w:val="baseline"/>
        </w:rPr>
        <w:t>.</w:t>
      </w:r>
    </w:p>
    <w:p>
      <w:pPr>
        <w:keepNext w:val="0"/>
        <w:widowControl w:val="0"/>
        <w:spacing w:before="240" w:after="0" w:line="260" w:lineRule="atLeast"/>
        <w:ind w:left="0" w:right="0" w:firstLine="0"/>
        <w:jc w:val="both"/>
      </w:pPr>
      <w:bookmarkStart w:id="114" w:name="Bookmark_I4XRHV0B0K1MNJ2WC0000400"/>
      <w:bookmarkEnd w:id="114"/>
      <w:bookmarkStart w:id="115" w:name="Bookmark_LNHNREFclscc7"/>
      <w:bookmarkEnd w:id="115"/>
      <w:hyperlink r:id="rId107" w:history="1">
        <w:r>
          <w:rPr>
            <w:rFonts w:ascii="arial" w:eastAsia="arial" w:hAnsi="arial" w:cs="arial"/>
            <w:b/>
            <w:i/>
            <w:strike w:val="0"/>
            <w:color w:val="0077CC"/>
            <w:sz w:val="20"/>
            <w:u w:val="single"/>
            <w:shd w:val="clear" w:color="auto" w:fill="FFFFFF"/>
            <w:vertAlign w:val="baseline"/>
          </w:rPr>
          <w:t>HN7</w:t>
        </w:r>
      </w:hyperlink>
      <w:r>
        <w:rPr>
          <w:rFonts w:ascii="arial" w:eastAsia="arial" w:hAnsi="arial" w:cs="arial"/>
          <w:b w:val="0"/>
          <w:i w:val="0"/>
          <w:strike w:val="0"/>
          <w:noProof w:val="0"/>
          <w:color w:val="000000"/>
          <w:position w:val="0"/>
          <w:sz w:val="20"/>
          <w:u w:val="none"/>
          <w:vertAlign w:val="baseline"/>
        </w:rPr>
        <w:t>[</w:t>
      </w:r>
      <w:hyperlink w:anchor="Bookmark_clscc7" w:history="1">
        <w:r>
          <w:pict>
            <v:shape id="_x0000_i1052" type="#_x0000_t75" style="width:10.5pt;height:10.5pt">
              <v:imagedata r:id="rId47" o:title=""/>
            </v:shape>
          </w:pict>
        </w:r>
      </w:hyperlink>
      <w:r>
        <w:rPr>
          <w:rFonts w:ascii="arial" w:eastAsia="arial" w:hAnsi="arial" w:cs="arial"/>
          <w:b w:val="0"/>
          <w:i w:val="0"/>
          <w:strike w:val="0"/>
          <w:noProof w:val="0"/>
          <w:color w:val="000000"/>
          <w:position w:val="0"/>
          <w:sz w:val="20"/>
          <w:u w:val="none"/>
          <w:vertAlign w:val="baseline"/>
        </w:rPr>
        <w:t xml:space="preserve">] The running of a statute of repose is usually triggered by something other than the accrual of the cause of action. </w:t>
      </w:r>
      <w:bookmarkStart w:id="116" w:name="Bookmark_I4XRHV0B0K1MNJ2WF0000400"/>
      <w:bookmarkEnd w:id="116"/>
      <w:r>
        <w:rPr>
          <w:rFonts w:ascii="arial" w:eastAsia="arial" w:hAnsi="arial" w:cs="arial"/>
          <w:b w:val="0"/>
          <w:i/>
          <w:strike w:val="0"/>
          <w:noProof w:val="0"/>
          <w:color w:val="000000"/>
          <w:position w:val="0"/>
          <w:sz w:val="20"/>
          <w:u w:val="none"/>
          <w:vertAlign w:val="baseline"/>
        </w:rPr>
        <w:t>See</w:t>
      </w:r>
      <w:r>
        <w:rPr>
          <w:rFonts w:ascii="arial" w:eastAsia="arial" w:hAnsi="arial" w:cs="arial"/>
          <w:b w:val="0"/>
          <w:i w:val="0"/>
          <w:strike w:val="0"/>
          <w:noProof w:val="0"/>
          <w:color w:val="000000"/>
          <w:position w:val="0"/>
          <w:sz w:val="20"/>
          <w:u w:val="none"/>
          <w:vertAlign w:val="baseline"/>
        </w:rPr>
        <w:t xml:space="preserve"> </w:t>
      </w:r>
      <w:bookmarkStart w:id="117" w:name="Bookmark_I4XRHV0B0K1MNJ2W50000400"/>
      <w:bookmarkEnd w:id="117"/>
      <w:r>
        <w:rPr>
          <w:rFonts w:ascii="arial" w:eastAsia="arial" w:hAnsi="arial" w:cs="arial"/>
          <w:b w:val="0"/>
          <w:i/>
          <w:strike w:val="0"/>
          <w:noProof w:val="0"/>
          <w:color w:val="000000"/>
          <w:position w:val="0"/>
          <w:sz w:val="20"/>
          <w:u w:val="none"/>
          <w:vertAlign w:val="baseline"/>
        </w:rPr>
        <w:t>Wyatt v. A-Best Products, Inc</w:t>
      </w:r>
      <w:r>
        <w:rPr>
          <w:rFonts w:ascii="arial" w:eastAsia="arial" w:hAnsi="arial" w:cs="arial"/>
          <w:b w:val="0"/>
          <w:i/>
          <w:strike w:val="0"/>
          <w:noProof w:val="0"/>
          <w:color w:val="000000"/>
          <w:position w:val="0"/>
          <w:sz w:val="20"/>
          <w:u w:val="none"/>
          <w:vertAlign w:val="baseline"/>
        </w:rPr>
        <w:t>., 924 S.W.2d at 102</w:t>
      </w:r>
      <w:r>
        <w:rPr>
          <w:rFonts w:ascii="arial" w:eastAsia="arial" w:hAnsi="arial" w:cs="arial"/>
          <w:b w:val="0"/>
          <w:i w:val="0"/>
          <w:strike w:val="0"/>
          <w:noProof w:val="0"/>
          <w:color w:val="000000"/>
          <w:position w:val="0"/>
          <w:sz w:val="20"/>
          <w:u w:val="none"/>
          <w:vertAlign w:val="baseline"/>
        </w:rPr>
        <w:t xml:space="preserve"> (ten year statute of repose for products liability is ten years from purchase of the defective product, not ten years from injury </w:t>
      </w:r>
      <w:r>
        <w:rPr>
          <w:rFonts w:ascii="arial" w:eastAsia="arial" w:hAnsi="arial" w:cs="arial"/>
          <w:b/>
          <w:i w:val="0"/>
          <w:strike w:val="0"/>
          <w:noProof w:val="0"/>
          <w:color w:val="000000"/>
          <w:position w:val="0"/>
          <w:sz w:val="20"/>
          <w:u w:val="none"/>
          <w:vertAlign w:val="baseline"/>
        </w:rPr>
        <w:t> [*16] </w:t>
      </w:r>
      <w:r>
        <w:rPr>
          <w:rFonts w:ascii="arial" w:eastAsia="arial" w:hAnsi="arial" w:cs="arial"/>
          <w:b w:val="0"/>
          <w:i w:val="0"/>
          <w:strike w:val="0"/>
          <w:noProof w:val="0"/>
          <w:color w:val="000000"/>
          <w:position w:val="0"/>
          <w:sz w:val="20"/>
          <w:u w:val="none"/>
          <w:vertAlign w:val="baseline"/>
        </w:rPr>
        <w:t xml:space="preserve">resulting from use of that product). "A statute of limitations normally governs the time within which legal proceedings must be commenced after a cause of action accrues. </w:t>
      </w:r>
      <w:bookmarkStart w:id="118" w:name="Bookmark_I4XRHV0B0K1MNJ2WF0000400_2"/>
      <w:bookmarkEnd w:id="118"/>
      <w:r>
        <w:rPr>
          <w:rFonts w:ascii="arial" w:eastAsia="arial" w:hAnsi="arial" w:cs="arial"/>
          <w:b w:val="0"/>
          <w:i w:val="0"/>
          <w:strike w:val="0"/>
          <w:noProof w:val="0"/>
          <w:color w:val="000000"/>
          <w:position w:val="0"/>
          <w:sz w:val="20"/>
          <w:u w:val="none"/>
          <w:vertAlign w:val="baseline"/>
        </w:rPr>
        <w:t xml:space="preserve">A statute of repose, on the other hand, limits the time within which an action may be brought and is unrelated to the accrual of any cause of action." </w:t>
      </w:r>
      <w:bookmarkStart w:id="119" w:name="Bookmark_I4XRHV0B0K1MNJ2WD0000400"/>
      <w:bookmarkEnd w:id="119"/>
      <w:r>
        <w:rPr>
          <w:rFonts w:ascii="arial" w:eastAsia="arial" w:hAnsi="arial" w:cs="arial"/>
          <w:b w:val="0"/>
          <w:i/>
          <w:strike w:val="0"/>
          <w:noProof w:val="0"/>
          <w:color w:val="000000"/>
          <w:position w:val="0"/>
          <w:sz w:val="20"/>
          <w:u w:val="none"/>
          <w:vertAlign w:val="baseline"/>
        </w:rPr>
        <w:t>Calaway ex rel. Calaway v. Schucker</w:t>
      </w:r>
      <w:r>
        <w:rPr>
          <w:rFonts w:ascii="arial" w:eastAsia="arial" w:hAnsi="arial" w:cs="arial"/>
          <w:b w:val="0"/>
          <w:i/>
          <w:strike w:val="0"/>
          <w:noProof w:val="0"/>
          <w:color w:val="000000"/>
          <w:position w:val="0"/>
          <w:sz w:val="20"/>
          <w:u w:val="none"/>
          <w:vertAlign w:val="baseline"/>
        </w:rPr>
        <w:t>, 193 S.W.3d 509, 515 (Tenn. 2005)</w:t>
      </w:r>
      <w:r>
        <w:rPr>
          <w:rFonts w:ascii="arial" w:eastAsia="arial" w:hAnsi="arial" w:cs="arial"/>
          <w:b w:val="0"/>
          <w:i w:val="0"/>
          <w:strike w:val="0"/>
          <w:noProof w:val="0"/>
          <w:color w:val="000000"/>
          <w:position w:val="0"/>
          <w:sz w:val="20"/>
          <w:u w:val="none"/>
          <w:vertAlign w:val="baseline"/>
        </w:rPr>
        <w:t xml:space="preserve"> (citing </w:t>
      </w:r>
      <w:bookmarkStart w:id="120" w:name="Bookmark_I4XRHV0B0K1MNJ2WG0000400"/>
      <w:bookmarkEnd w:id="120"/>
      <w:hyperlink r:id="rId108" w:history="1">
        <w:r>
          <w:rPr>
            <w:rFonts w:ascii="arial" w:eastAsia="arial" w:hAnsi="arial" w:cs="arial"/>
            <w:b w:val="0"/>
            <w:i/>
            <w:strike w:val="0"/>
            <w:noProof w:val="0"/>
            <w:color w:val="0077CC"/>
            <w:position w:val="0"/>
            <w:sz w:val="20"/>
            <w:u w:val="single"/>
            <w:shd w:val="clear" w:color="auto" w:fill="FFFFFF"/>
            <w:vertAlign w:val="baseline"/>
          </w:rPr>
          <w:t>Jones v. Methodist Healthcare</w:t>
        </w:r>
      </w:hyperlink>
      <w:hyperlink r:id="rId109" w:history="1">
        <w:r>
          <w:rPr>
            <w:rFonts w:ascii="arial" w:eastAsia="arial" w:hAnsi="arial" w:cs="arial"/>
            <w:b w:val="0"/>
            <w:i/>
            <w:strike w:val="0"/>
            <w:noProof w:val="0"/>
            <w:color w:val="0077CC"/>
            <w:position w:val="0"/>
            <w:sz w:val="20"/>
            <w:u w:val="single"/>
            <w:shd w:val="clear" w:color="auto" w:fill="FFFFFF"/>
            <w:vertAlign w:val="baseline"/>
          </w:rPr>
          <w:t>, 83 S.W.3d 739, 743 (Tenn. Ct. App. 2001))</w:t>
        </w:r>
      </w:hyperlink>
      <w:r>
        <w:rPr>
          <w:rFonts w:ascii="arial" w:eastAsia="arial" w:hAnsi="arial" w:cs="arial"/>
          <w:b w:val="0"/>
          <w:i w:val="0"/>
          <w:strike w:val="0"/>
          <w:noProof w:val="0"/>
          <w:color w:val="000000"/>
          <w:position w:val="0"/>
          <w:sz w:val="20"/>
          <w:u w:val="none"/>
          <w:vertAlign w:val="baseline"/>
        </w:rPr>
        <w:t>.</w:t>
      </w:r>
    </w:p>
    <w:p>
      <w:pPr>
        <w:keepNext w:val="0"/>
        <w:widowControl w:val="0"/>
        <w:spacing w:before="240" w:after="0" w:line="260" w:lineRule="atLeast"/>
        <w:ind w:left="0" w:right="0" w:firstLine="0"/>
        <w:jc w:val="left"/>
      </w:pPr>
      <w:r>
        <w:br/>
      </w:r>
      <w:r>
        <w:rPr>
          <w:rFonts w:ascii="arial" w:eastAsia="arial" w:hAnsi="arial" w:cs="arial"/>
          <w:b/>
          <w:i w:val="0"/>
          <w:strike w:val="0"/>
          <w:noProof w:val="0"/>
          <w:color w:val="000000"/>
          <w:position w:val="0"/>
          <w:sz w:val="20"/>
          <w:u w:val="none"/>
          <w:vertAlign w:val="baseline"/>
        </w:rPr>
        <w:t>C. Analysis</w:t>
      </w:r>
    </w:p>
    <w:p>
      <w:pPr>
        <w:keepNext w:val="0"/>
        <w:widowControl w:val="0"/>
        <w:spacing w:before="24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The final order in this case declared both of Mr. Range's claims were barred by the applicable one year statute of limitations at </w:t>
      </w:r>
      <w:hyperlink r:id="rId110" w:history="1">
        <w:r>
          <w:rPr>
            <w:rFonts w:ascii="arial" w:eastAsia="arial" w:hAnsi="arial" w:cs="arial"/>
            <w:b w:val="0"/>
            <w:i/>
            <w:strike w:val="0"/>
            <w:noProof w:val="0"/>
            <w:color w:val="0077CC"/>
            <w:position w:val="0"/>
            <w:sz w:val="20"/>
            <w:u w:val="single"/>
            <w:shd w:val="clear" w:color="auto" w:fill="FFFFFF"/>
            <w:vertAlign w:val="baseline"/>
          </w:rPr>
          <w:t>Tenn. Code Ann. § 29-26-116(a)(1)</w:t>
        </w:r>
      </w:hyperlink>
      <w:r>
        <w:rPr>
          <w:rFonts w:ascii="arial" w:eastAsia="arial" w:hAnsi="arial" w:cs="arial"/>
          <w:b w:val="0"/>
          <w:i w:val="0"/>
          <w:strike w:val="0"/>
          <w:noProof w:val="0"/>
          <w:color w:val="000000"/>
          <w:position w:val="0"/>
          <w:sz w:val="20"/>
          <w:u w:val="none"/>
          <w:vertAlign w:val="baseline"/>
        </w:rPr>
        <w:t xml:space="preserve">. Furthermore, the trial court found that the claims arising from the extraction of Ms. Katherine Range's tooth on August 21, 2000, were also barred by the three year statute of repose found at </w:t>
      </w:r>
      <w:hyperlink r:id="rId111" w:history="1">
        <w:r>
          <w:rPr>
            <w:rFonts w:ascii="arial" w:eastAsia="arial" w:hAnsi="arial" w:cs="arial"/>
            <w:b w:val="0"/>
            <w:i/>
            <w:strike w:val="0"/>
            <w:noProof w:val="0"/>
            <w:color w:val="0077CC"/>
            <w:position w:val="0"/>
            <w:sz w:val="20"/>
            <w:u w:val="single"/>
            <w:shd w:val="clear" w:color="auto" w:fill="FFFFFF"/>
            <w:vertAlign w:val="baseline"/>
          </w:rPr>
          <w:t>Tenn. Code Ann. § 29-26-116(a)(3)</w:t>
        </w:r>
      </w:hyperlink>
      <w:r>
        <w:rPr>
          <w:rFonts w:ascii="arial" w:eastAsia="arial" w:hAnsi="arial" w:cs="arial"/>
          <w:b w:val="0"/>
          <w:i w:val="0"/>
          <w:strike w:val="0"/>
          <w:noProof w:val="0"/>
          <w:color w:val="000000"/>
          <w:position w:val="0"/>
          <w:sz w:val="20"/>
          <w:u w:val="none"/>
          <w:vertAlign w:val="baseline"/>
        </w:rPr>
        <w:t>.</w:t>
      </w:r>
    </w:p>
    <w:p>
      <w:pPr>
        <w:keepNext w:val="0"/>
        <w:widowControl w:val="0"/>
        <w:spacing w:before="24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The relevant portions of </w:t>
      </w:r>
      <w:hyperlink r:id="rId112" w:history="1">
        <w:r>
          <w:rPr>
            <w:rFonts w:ascii="arial" w:eastAsia="arial" w:hAnsi="arial" w:cs="arial"/>
            <w:b w:val="0"/>
            <w:i/>
            <w:strike w:val="0"/>
            <w:noProof w:val="0"/>
            <w:color w:val="0077CC"/>
            <w:position w:val="0"/>
            <w:sz w:val="20"/>
            <w:u w:val="single"/>
            <w:shd w:val="clear" w:color="auto" w:fill="FFFFFF"/>
            <w:vertAlign w:val="baseline"/>
          </w:rPr>
          <w:t>Tenn. Code Ann. § 29-26-116</w:t>
        </w:r>
      </w:hyperlink>
      <w:r>
        <w:rPr>
          <w:rFonts w:ascii="arial" w:eastAsia="arial" w:hAnsi="arial" w:cs="arial"/>
          <w:b w:val="0"/>
          <w:i w:val="0"/>
          <w:strike w:val="0"/>
          <w:noProof w:val="0"/>
          <w:color w:val="000000"/>
          <w:position w:val="0"/>
          <w:sz w:val="20"/>
          <w:u w:val="none"/>
          <w:vertAlign w:val="baseline"/>
        </w:rPr>
        <w:t xml:space="preserve"> below:</w:t>
      </w:r>
    </w:p>
    <w:p>
      <w:pPr>
        <w:keepNext w:val="0"/>
        <w:widowControl w:val="0"/>
        <w:spacing w:before="240" w:after="0" w:line="260" w:lineRule="atLeast"/>
        <w:ind w:left="400" w:right="0" w:firstLine="0"/>
        <w:jc w:val="both"/>
      </w:pPr>
      <w:bookmarkStart w:id="121" w:name="Bookmark_LNHNREFclscc8"/>
      <w:bookmarkEnd w:id="121"/>
      <w:hyperlink r:id="rId113" w:history="1">
        <w:r>
          <w:rPr>
            <w:rFonts w:ascii="arial" w:eastAsia="arial" w:hAnsi="arial" w:cs="arial"/>
            <w:b/>
            <w:i/>
            <w:strike w:val="0"/>
            <w:color w:val="0077CC"/>
            <w:sz w:val="20"/>
            <w:u w:val="single"/>
            <w:shd w:val="clear" w:color="auto" w:fill="FFFFFF"/>
            <w:vertAlign w:val="baseline"/>
          </w:rPr>
          <w:t>HN8</w:t>
        </w:r>
      </w:hyperlink>
      <w:r>
        <w:rPr>
          <w:rFonts w:ascii="arial" w:eastAsia="arial" w:hAnsi="arial" w:cs="arial"/>
          <w:b w:val="0"/>
          <w:i w:val="0"/>
          <w:strike w:val="0"/>
          <w:noProof w:val="0"/>
          <w:color w:val="000000"/>
          <w:position w:val="0"/>
          <w:sz w:val="20"/>
          <w:u w:val="none"/>
          <w:vertAlign w:val="baseline"/>
        </w:rPr>
        <w:t>[</w:t>
      </w:r>
      <w:hyperlink w:anchor="Bookmark_clscc8" w:history="1">
        <w:r>
          <w:pict>
            <v:shape id="_x0000_i1053" type="#_x0000_t75" style="width:10.5pt;height:10.5pt">
              <v:imagedata r:id="rId47" o:title=""/>
            </v:shape>
          </w:pict>
        </w:r>
      </w:hyperlink>
      <w:r>
        <w:rPr>
          <w:rFonts w:ascii="arial" w:eastAsia="arial" w:hAnsi="arial" w:cs="arial"/>
          <w:b w:val="0"/>
          <w:i w:val="0"/>
          <w:strike w:val="0"/>
          <w:noProof w:val="0"/>
          <w:color w:val="000000"/>
          <w:position w:val="0"/>
          <w:sz w:val="20"/>
          <w:u w:val="none"/>
          <w:vertAlign w:val="baseline"/>
        </w:rPr>
        <w:t xml:space="preserve">] (a)(1) The statute of limitations in malpractice actions shall be one (1) year as set forth in </w:t>
      </w:r>
      <w:hyperlink r:id="rId114" w:history="1">
        <w:r>
          <w:rPr>
            <w:rFonts w:ascii="arial" w:eastAsia="arial" w:hAnsi="arial" w:cs="arial"/>
            <w:b w:val="0"/>
            <w:i/>
            <w:strike w:val="0"/>
            <w:noProof w:val="0"/>
            <w:color w:val="0077CC"/>
            <w:position w:val="0"/>
            <w:sz w:val="20"/>
            <w:u w:val="single"/>
            <w:shd w:val="clear" w:color="auto" w:fill="FFFFFF"/>
            <w:vertAlign w:val="baseline"/>
          </w:rPr>
          <w:t>§ 28-3-104</w:t>
        </w:r>
      </w:hyperlink>
      <w:r>
        <w:rPr>
          <w:rFonts w:ascii="arial" w:eastAsia="arial" w:hAnsi="arial" w:cs="arial"/>
          <w:b w:val="0"/>
          <w:i w:val="0"/>
          <w:strike w:val="0"/>
          <w:noProof w:val="0"/>
          <w:color w:val="000000"/>
          <w:position w:val="0"/>
          <w:sz w:val="20"/>
          <w:u w:val="none"/>
          <w:vertAlign w:val="baseline"/>
        </w:rPr>
        <w:t>.</w:t>
      </w:r>
    </w:p>
    <w:p>
      <w:pPr>
        <w:keepNext w:val="0"/>
        <w:widowControl w:val="0"/>
        <w:spacing w:before="200" w:after="0" w:line="260" w:lineRule="atLeast"/>
        <w:ind w:left="400" w:right="0" w:firstLine="0"/>
        <w:jc w:val="both"/>
      </w:pPr>
      <w:r>
        <w:rPr>
          <w:rFonts w:ascii="arial" w:eastAsia="arial" w:hAnsi="arial" w:cs="arial"/>
          <w:b w:val="0"/>
          <w:i w:val="0"/>
          <w:strike w:val="0"/>
          <w:noProof w:val="0"/>
          <w:color w:val="000000"/>
          <w:position w:val="0"/>
          <w:sz w:val="20"/>
          <w:u w:val="none"/>
          <w:vertAlign w:val="baseline"/>
        </w:rPr>
        <w:t xml:space="preserve">(2) </w:t>
      </w:r>
      <w:r>
        <w:rPr>
          <w:rFonts w:ascii="arial" w:eastAsia="arial" w:hAnsi="arial" w:cs="arial"/>
          <w:b/>
          <w:i w:val="0"/>
          <w:strike w:val="0"/>
          <w:noProof w:val="0"/>
          <w:color w:val="000000"/>
          <w:position w:val="0"/>
          <w:sz w:val="20"/>
          <w:u w:val="none"/>
          <w:vertAlign w:val="baseline"/>
        </w:rPr>
        <w:t> [*17] </w:t>
      </w:r>
      <w:r>
        <w:rPr>
          <w:rFonts w:ascii="arial" w:eastAsia="arial" w:hAnsi="arial" w:cs="arial"/>
          <w:b w:val="0"/>
          <w:i w:val="0"/>
          <w:strike w:val="0"/>
          <w:noProof w:val="0"/>
          <w:color w:val="000000"/>
          <w:position w:val="0"/>
          <w:sz w:val="20"/>
          <w:u w:val="none"/>
          <w:vertAlign w:val="baseline"/>
        </w:rPr>
        <w:t>In the event the alleged injury is not discovered within such one (1) year period, the period of limitation shall be one (1) year from the date of such discovery.</w:t>
      </w:r>
    </w:p>
    <w:p>
      <w:pPr>
        <w:keepNext w:val="0"/>
        <w:widowControl w:val="0"/>
        <w:spacing w:before="200" w:after="0" w:line="260" w:lineRule="atLeast"/>
        <w:ind w:left="400" w:right="0" w:firstLine="0"/>
        <w:jc w:val="both"/>
      </w:pPr>
      <w:r>
        <w:rPr>
          <w:rFonts w:ascii="arial" w:eastAsia="arial" w:hAnsi="arial" w:cs="arial"/>
          <w:b w:val="0"/>
          <w:i w:val="0"/>
          <w:strike w:val="0"/>
          <w:noProof w:val="0"/>
          <w:color w:val="000000"/>
          <w:position w:val="0"/>
          <w:sz w:val="20"/>
          <w:u w:val="none"/>
          <w:vertAlign w:val="baseline"/>
        </w:rPr>
        <w:t>(3) In no event shall any such action be brought more than three (3) years after the date on which the negligent act or omission occurred except where there is fraudulent concealment on the part of the defendant, in which case the action shall be commenced within one (1) year after discovery that the cause of action exists.</w:t>
      </w:r>
    </w:p>
    <w:p>
      <w:pPr>
        <w:keepNext w:val="0"/>
        <w:widowControl w:val="0"/>
        <w:spacing w:before="24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As can be seen, </w:t>
      </w:r>
      <w:bookmarkStart w:id="122" w:name="Bookmark_LNHNREFclscc9"/>
      <w:bookmarkEnd w:id="122"/>
      <w:hyperlink r:id="rId115" w:history="1">
        <w:r>
          <w:rPr>
            <w:rFonts w:ascii="arial" w:eastAsia="arial" w:hAnsi="arial" w:cs="arial"/>
            <w:b/>
            <w:i/>
            <w:strike w:val="0"/>
            <w:noProof w:val="0"/>
            <w:color w:val="0077CC"/>
            <w:position w:val="0"/>
            <w:sz w:val="20"/>
            <w:u w:val="single"/>
            <w:shd w:val="clear" w:color="auto" w:fill="FFFFFF"/>
            <w:vertAlign w:val="baseline"/>
          </w:rPr>
          <w:t>HN9</w:t>
        </w:r>
      </w:hyperlink>
      <w:r>
        <w:rPr>
          <w:rFonts w:ascii="arial" w:eastAsia="arial" w:hAnsi="arial" w:cs="arial"/>
          <w:b w:val="0"/>
          <w:i w:val="0"/>
          <w:strike w:val="0"/>
          <w:noProof w:val="0"/>
          <w:color w:val="000000"/>
          <w:position w:val="0"/>
          <w:sz w:val="20"/>
          <w:u w:val="none"/>
          <w:vertAlign w:val="baseline"/>
        </w:rPr>
        <w:t>[</w:t>
      </w:r>
      <w:hyperlink w:anchor="Bookmark_clscc9" w:history="1">
        <w:r>
          <w:pict>
            <v:shape id="_x0000_i1054" type="#_x0000_t75" style="width:10.5pt;height:10.5pt">
              <v:imagedata r:id="rId47" o:title=""/>
            </v:shape>
          </w:pict>
        </w:r>
      </w:hyperlink>
      <w:r>
        <w:rPr>
          <w:rFonts w:ascii="arial" w:eastAsia="arial" w:hAnsi="arial" w:cs="arial"/>
          <w:b w:val="0"/>
          <w:i w:val="0"/>
          <w:strike w:val="0"/>
          <w:noProof w:val="0"/>
          <w:color w:val="000000"/>
          <w:position w:val="0"/>
          <w:sz w:val="20"/>
          <w:u w:val="none"/>
          <w:vertAlign w:val="baseline"/>
        </w:rPr>
        <w:t xml:space="preserve">] </w:t>
      </w:r>
      <w:hyperlink r:id="rId116" w:history="1">
        <w:r>
          <w:rPr>
            <w:rFonts w:ascii="arial" w:eastAsia="arial" w:hAnsi="arial" w:cs="arial"/>
            <w:b w:val="0"/>
            <w:i/>
            <w:strike w:val="0"/>
            <w:noProof w:val="0"/>
            <w:color w:val="0077CC"/>
            <w:position w:val="0"/>
            <w:sz w:val="20"/>
            <w:u w:val="single"/>
            <w:shd w:val="clear" w:color="auto" w:fill="FFFFFF"/>
            <w:vertAlign w:val="baseline"/>
          </w:rPr>
          <w:t>Tenn. Code Ann. § 29-26-116(a)(2)</w:t>
        </w:r>
      </w:hyperlink>
      <w:r>
        <w:rPr>
          <w:rFonts w:ascii="arial" w:eastAsia="arial" w:hAnsi="arial" w:cs="arial"/>
          <w:b w:val="0"/>
          <w:i w:val="0"/>
          <w:strike w:val="0"/>
          <w:noProof w:val="0"/>
          <w:color w:val="000000"/>
          <w:position w:val="0"/>
          <w:sz w:val="20"/>
          <w:u w:val="none"/>
          <w:vertAlign w:val="baseline"/>
        </w:rPr>
        <w:t xml:space="preserve"> codifies the discovery doctrine in medical malpractice cases, while (a)(3) establishes a statue of repose, as well as an extension of the statute of repose where fraudulent concealment can be proved.</w:t>
      </w:r>
    </w:p>
    <w:p>
      <w:pPr>
        <w:keepNext w:val="0"/>
        <w:widowControl w:val="0"/>
        <w:spacing w:before="20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It appears at first glance that all of Mr. Range's claims are barred by the one-year statute of limitations since he did not file his complaint until more than a year after any of the acts complained of were performed, on December 1, 2003. He argues that he did not discover that Dr. Sowell had performed unauthorized dental procedures on his mother until March 12, 2003, when he received a set of medical records which he had requested from Heritage Manor. We believe, </w:t>
      </w:r>
      <w:r>
        <w:rPr>
          <w:rFonts w:ascii="arial" w:eastAsia="arial" w:hAnsi="arial" w:cs="arial"/>
          <w:b/>
          <w:i w:val="0"/>
          <w:strike w:val="0"/>
          <w:noProof w:val="0"/>
          <w:color w:val="000000"/>
          <w:position w:val="0"/>
          <w:sz w:val="20"/>
          <w:u w:val="none"/>
          <w:vertAlign w:val="baseline"/>
        </w:rPr>
        <w:t> [*18] </w:t>
      </w:r>
      <w:r>
        <w:rPr>
          <w:rFonts w:ascii="arial" w:eastAsia="arial" w:hAnsi="arial" w:cs="arial"/>
          <w:b w:val="0"/>
          <w:i w:val="0"/>
          <w:strike w:val="0"/>
          <w:noProof w:val="0"/>
          <w:color w:val="000000"/>
          <w:position w:val="0"/>
          <w:sz w:val="20"/>
          <w:u w:val="none"/>
          <w:vertAlign w:val="baseline"/>
        </w:rPr>
        <w:t>however, that the trial court was correct to find that his acknowledged receipt of a bill for Dr. Sowell's services and payment of that bill in March of 2002 negate any possible argument that the discovery rule can rescue his claims from the bar of the statute of limitations.</w:t>
      </w:r>
    </w:p>
    <w:p>
      <w:pPr>
        <w:keepNext w:val="0"/>
        <w:widowControl w:val="0"/>
        <w:spacing w:before="24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Nonetheless, a statute that applies to people suffering under a legal disability throws a lifeline to Mr. Range's claims. </w:t>
      </w:r>
      <w:hyperlink r:id="rId117" w:history="1">
        <w:r>
          <w:rPr>
            <w:rFonts w:ascii="arial" w:eastAsia="arial" w:hAnsi="arial" w:cs="arial"/>
            <w:b w:val="0"/>
            <w:i/>
            <w:strike w:val="0"/>
            <w:noProof w:val="0"/>
            <w:color w:val="0077CC"/>
            <w:position w:val="0"/>
            <w:sz w:val="20"/>
            <w:u w:val="single"/>
            <w:shd w:val="clear" w:color="auto" w:fill="FFFFFF"/>
            <w:vertAlign w:val="baseline"/>
          </w:rPr>
          <w:t>Tenn. Code Ann. § 28-1-106</w:t>
        </w:r>
      </w:hyperlink>
      <w:r>
        <w:rPr>
          <w:rFonts w:ascii="arial" w:eastAsia="arial" w:hAnsi="arial" w:cs="arial"/>
          <w:b w:val="0"/>
          <w:i w:val="0"/>
          <w:strike w:val="0"/>
          <w:noProof w:val="0"/>
          <w:color w:val="000000"/>
          <w:position w:val="0"/>
          <w:sz w:val="20"/>
          <w:u w:val="none"/>
          <w:vertAlign w:val="baseline"/>
        </w:rPr>
        <w:t xml:space="preserve"> reads</w:t>
      </w:r>
    </w:p>
    <w:p>
      <w:pPr>
        <w:keepNext w:val="0"/>
        <w:widowControl w:val="0"/>
        <w:spacing w:before="200" w:after="0" w:line="260" w:lineRule="atLeast"/>
        <w:ind w:left="400" w:right="0" w:firstLine="0"/>
        <w:jc w:val="both"/>
      </w:pPr>
      <w:bookmarkStart w:id="123" w:name="Bookmark_LNHNREFclscc10"/>
      <w:bookmarkEnd w:id="123"/>
      <w:hyperlink r:id="rId118" w:history="1">
        <w:r>
          <w:rPr>
            <w:rFonts w:ascii="arial" w:eastAsia="arial" w:hAnsi="arial" w:cs="arial"/>
            <w:b/>
            <w:i/>
            <w:strike w:val="0"/>
            <w:color w:val="0077CC"/>
            <w:sz w:val="20"/>
            <w:u w:val="single"/>
            <w:shd w:val="clear" w:color="auto" w:fill="FFFFFF"/>
            <w:vertAlign w:val="baseline"/>
          </w:rPr>
          <w:t>HN10</w:t>
        </w:r>
      </w:hyperlink>
      <w:r>
        <w:rPr>
          <w:rFonts w:ascii="arial" w:eastAsia="arial" w:hAnsi="arial" w:cs="arial"/>
          <w:b w:val="0"/>
          <w:i w:val="0"/>
          <w:strike w:val="0"/>
          <w:noProof w:val="0"/>
          <w:color w:val="000000"/>
          <w:position w:val="0"/>
          <w:sz w:val="20"/>
          <w:u w:val="none"/>
          <w:vertAlign w:val="baseline"/>
        </w:rPr>
        <w:t>[</w:t>
      </w:r>
      <w:hyperlink w:anchor="Bookmark_clscc10" w:history="1">
        <w:r>
          <w:pict>
            <v:shape id="_x0000_i1055" type="#_x0000_t75" style="width:10.5pt;height:10.5pt">
              <v:imagedata r:id="rId47" o:title=""/>
            </v:shape>
          </w:pict>
        </w:r>
      </w:hyperlink>
      <w:r>
        <w:rPr>
          <w:rFonts w:ascii="arial" w:eastAsia="arial" w:hAnsi="arial" w:cs="arial"/>
          <w:b w:val="0"/>
          <w:i w:val="0"/>
          <w:strike w:val="0"/>
          <w:noProof w:val="0"/>
          <w:color w:val="000000"/>
          <w:position w:val="0"/>
          <w:sz w:val="20"/>
          <w:u w:val="none"/>
          <w:vertAlign w:val="baseline"/>
        </w:rPr>
        <w:t>] If the person entitled to commence an action is, at the time the cause of action accrued, either within the age of eighteen (18) years, or of unsound mind, such person, or such person's representatives and privies, as the case may be, may commence the action, after the removal of such disability, within the time of limitation for the particular cause of action, unless it exceeds three (3) years, and in that case within three (3) years from the removal of such disability.</w:t>
      </w:r>
    </w:p>
    <w:p>
      <w:pPr>
        <w:keepNext w:val="0"/>
        <w:widowControl w:val="0"/>
        <w:spacing w:before="240" w:after="0" w:line="260" w:lineRule="atLeast"/>
        <w:ind w:left="0" w:right="0" w:firstLine="0"/>
        <w:jc w:val="both"/>
      </w:pPr>
      <w:bookmarkStart w:id="124" w:name="Bookmark_I4XRHV0B0K1MNJ2WS0000400"/>
      <w:bookmarkEnd w:id="124"/>
      <w:bookmarkStart w:id="125" w:name="Bookmark_LNHNREFclscc11"/>
      <w:bookmarkEnd w:id="125"/>
      <w:hyperlink r:id="rId119" w:history="1">
        <w:r>
          <w:rPr>
            <w:rFonts w:ascii="arial" w:eastAsia="arial" w:hAnsi="arial" w:cs="arial"/>
            <w:b/>
            <w:i/>
            <w:strike w:val="0"/>
            <w:color w:val="0077CC"/>
            <w:sz w:val="20"/>
            <w:u w:val="single"/>
            <w:shd w:val="clear" w:color="auto" w:fill="FFFFFF"/>
            <w:vertAlign w:val="baseline"/>
          </w:rPr>
          <w:t>HN11</w:t>
        </w:r>
      </w:hyperlink>
      <w:r>
        <w:rPr>
          <w:rFonts w:ascii="arial" w:eastAsia="arial" w:hAnsi="arial" w:cs="arial"/>
          <w:b w:val="0"/>
          <w:i w:val="0"/>
          <w:strike w:val="0"/>
          <w:noProof w:val="0"/>
          <w:color w:val="000000"/>
          <w:position w:val="0"/>
          <w:sz w:val="20"/>
          <w:u w:val="none"/>
          <w:vertAlign w:val="baseline"/>
        </w:rPr>
        <w:t>[</w:t>
      </w:r>
      <w:hyperlink w:anchor="Bookmark_clscc11" w:history="1">
        <w:r>
          <w:pict>
            <v:shape id="_x0000_i1056" type="#_x0000_t75" style="width:10.5pt;height:10.5pt">
              <v:imagedata r:id="rId47" o:title=""/>
            </v:shape>
          </w:pict>
        </w:r>
      </w:hyperlink>
      <w:r>
        <w:rPr>
          <w:rFonts w:ascii="arial" w:eastAsia="arial" w:hAnsi="arial" w:cs="arial"/>
          <w:b w:val="0"/>
          <w:i w:val="0"/>
          <w:strike w:val="0"/>
          <w:noProof w:val="0"/>
          <w:color w:val="000000"/>
          <w:position w:val="0"/>
          <w:sz w:val="20"/>
          <w:u w:val="none"/>
          <w:vertAlign w:val="baseline"/>
        </w:rPr>
        <w:t xml:space="preserve">] Persons of unsound mind include those incapable of attending to any business or of taking care of themselves. </w:t>
      </w:r>
      <w:bookmarkStart w:id="126" w:name="Bookmark_I14GCWSCKT6000GB21V000F2"/>
      <w:bookmarkEnd w:id="126"/>
      <w:bookmarkStart w:id="127" w:name="Bookmark_I4XRHV0B0K1MNJ2WV0000400"/>
      <w:bookmarkEnd w:id="127"/>
      <w:bookmarkStart w:id="128" w:name="Bookmark_I4XRHV0B0K1MNJ2WR0000400"/>
      <w:bookmarkEnd w:id="128"/>
      <w:hyperlink r:id="rId120" w:history="1">
        <w:r>
          <w:rPr>
            <w:rFonts w:ascii="arial" w:eastAsia="arial" w:hAnsi="arial" w:cs="arial"/>
            <w:b w:val="0"/>
            <w:i/>
            <w:strike w:val="0"/>
            <w:noProof w:val="0"/>
            <w:color w:val="0077CC"/>
            <w:position w:val="0"/>
            <w:sz w:val="20"/>
            <w:u w:val="single"/>
            <w:shd w:val="clear" w:color="auto" w:fill="FFFFFF"/>
            <w:vertAlign w:val="baseline"/>
          </w:rPr>
          <w:t>Owen v. Summers</w:t>
        </w:r>
      </w:hyperlink>
      <w:hyperlink r:id="rId121" w:history="1">
        <w:r>
          <w:rPr>
            <w:rFonts w:ascii="arial" w:eastAsia="arial" w:hAnsi="arial" w:cs="arial"/>
            <w:b w:val="0"/>
            <w:i/>
            <w:strike w:val="0"/>
            <w:noProof w:val="0"/>
            <w:color w:val="0077CC"/>
            <w:position w:val="0"/>
            <w:sz w:val="20"/>
            <w:u w:val="single"/>
            <w:shd w:val="clear" w:color="auto" w:fill="FFFFFF"/>
            <w:vertAlign w:val="baseline"/>
          </w:rPr>
          <w:t>, 97 S.W.3d 114, 124 (Tenn. Ct. App. 2001)</w:t>
        </w:r>
      </w:hyperlink>
      <w:r>
        <w:rPr>
          <w:rFonts w:ascii="arial" w:eastAsia="arial" w:hAnsi="arial" w:cs="arial"/>
          <w:b w:val="0"/>
          <w:i w:val="0"/>
          <w:strike w:val="0"/>
          <w:noProof w:val="0"/>
          <w:color w:val="000000"/>
          <w:position w:val="0"/>
          <w:sz w:val="20"/>
          <w:u w:val="none"/>
          <w:vertAlign w:val="baseline"/>
        </w:rPr>
        <w:t xml:space="preserve">. The parties do not dispute that at the time of the events complained of Katherine Range met that definition, and they do not claim </w:t>
      </w:r>
      <w:r>
        <w:rPr>
          <w:rFonts w:ascii="arial" w:eastAsia="arial" w:hAnsi="arial" w:cs="arial"/>
          <w:b/>
          <w:i w:val="0"/>
          <w:strike w:val="0"/>
          <w:noProof w:val="0"/>
          <w:color w:val="000000"/>
          <w:position w:val="0"/>
          <w:sz w:val="20"/>
          <w:u w:val="none"/>
          <w:vertAlign w:val="baseline"/>
        </w:rPr>
        <w:t> [*19] </w:t>
      </w:r>
      <w:r>
        <w:rPr>
          <w:rFonts w:ascii="arial" w:eastAsia="arial" w:hAnsi="arial" w:cs="arial"/>
          <w:b w:val="0"/>
          <w:i w:val="0"/>
          <w:strike w:val="0"/>
          <w:noProof w:val="0"/>
          <w:color w:val="000000"/>
          <w:position w:val="0"/>
          <w:sz w:val="20"/>
          <w:u w:val="none"/>
          <w:vertAlign w:val="baseline"/>
        </w:rPr>
        <w:t xml:space="preserve">that she recovered from her disability prior to her death. </w:t>
      </w:r>
      <w:bookmarkStart w:id="129" w:name="Bookmark_I4XRHV0B0K1MNJ2WV0000400_2"/>
      <w:bookmarkEnd w:id="129"/>
      <w:r>
        <w:rPr>
          <w:rFonts w:ascii="arial" w:eastAsia="arial" w:hAnsi="arial" w:cs="arial"/>
          <w:b w:val="0"/>
          <w:i w:val="0"/>
          <w:strike w:val="0"/>
          <w:noProof w:val="0"/>
          <w:color w:val="000000"/>
          <w:position w:val="0"/>
          <w:sz w:val="20"/>
          <w:u w:val="none"/>
          <w:vertAlign w:val="baseline"/>
        </w:rPr>
        <w:t xml:space="preserve">"The disability of unsound mind is removed when the individual is no longer of unsound mind, due to either a change in the individual's condition or the individual's death." </w:t>
      </w:r>
      <w:bookmarkStart w:id="130" w:name="Bookmark_I4XRHV0B0K1MNJ2WT0000400"/>
      <w:bookmarkEnd w:id="130"/>
      <w:hyperlink r:id="rId122" w:history="1">
        <w:r>
          <w:rPr>
            <w:rFonts w:ascii="arial" w:eastAsia="arial" w:hAnsi="arial" w:cs="arial"/>
            <w:b w:val="0"/>
            <w:i/>
            <w:strike w:val="0"/>
            <w:noProof w:val="0"/>
            <w:color w:val="0077CC"/>
            <w:position w:val="0"/>
            <w:sz w:val="20"/>
            <w:u w:val="single"/>
            <w:shd w:val="clear" w:color="auto" w:fill="FFFFFF"/>
            <w:vertAlign w:val="baseline"/>
          </w:rPr>
          <w:t>Abels ex rel. Hunt v. Genie Industries, Inc</w:t>
        </w:r>
      </w:hyperlink>
      <w:hyperlink r:id="rId123" w:history="1">
        <w:r>
          <w:rPr>
            <w:rFonts w:ascii="arial" w:eastAsia="arial" w:hAnsi="arial" w:cs="arial"/>
            <w:b w:val="0"/>
            <w:i/>
            <w:strike w:val="0"/>
            <w:noProof w:val="0"/>
            <w:color w:val="0077CC"/>
            <w:position w:val="0"/>
            <w:sz w:val="20"/>
            <w:u w:val="single"/>
            <w:shd w:val="clear" w:color="auto" w:fill="FFFFFF"/>
            <w:vertAlign w:val="baseline"/>
          </w:rPr>
          <w:t>., 202 S.W.3d 99, 105 (Tenn. 2006)</w:t>
        </w:r>
      </w:hyperlink>
      <w:r>
        <w:rPr>
          <w:rFonts w:ascii="arial" w:eastAsia="arial" w:hAnsi="arial" w:cs="arial"/>
          <w:b w:val="0"/>
          <w:i w:val="0"/>
          <w:strike w:val="0"/>
          <w:noProof w:val="0"/>
          <w:color w:val="000000"/>
          <w:position w:val="0"/>
          <w:sz w:val="20"/>
          <w:u w:val="none"/>
          <w:vertAlign w:val="baseline"/>
        </w:rPr>
        <w:t xml:space="preserve">. </w:t>
      </w:r>
      <w:r>
        <w:rPr>
          <w:rFonts w:ascii="arial" w:eastAsia="arial" w:hAnsi="arial" w:cs="arial"/>
          <w:b w:val="0"/>
          <w:i w:val="0"/>
          <w:strike w:val="0"/>
          <w:noProof w:val="0"/>
          <w:color w:val="000000"/>
          <w:position w:val="0"/>
          <w:sz w:val="20"/>
          <w:u w:val="none"/>
          <w:vertAlign w:val="baseline"/>
        </w:rPr>
        <w:t xml:space="preserve">Consequently, </w:t>
      </w:r>
      <w:hyperlink r:id="rId124" w:history="1">
        <w:r>
          <w:rPr>
            <w:rFonts w:ascii="arial" w:eastAsia="arial" w:hAnsi="arial" w:cs="arial"/>
            <w:b w:val="0"/>
            <w:i/>
            <w:strike w:val="0"/>
            <w:noProof w:val="0"/>
            <w:color w:val="0077CC"/>
            <w:position w:val="0"/>
            <w:sz w:val="20"/>
            <w:u w:val="single"/>
            <w:shd w:val="clear" w:color="auto" w:fill="FFFFFF"/>
            <w:vertAlign w:val="baseline"/>
          </w:rPr>
          <w:t>Tenn. Code Ann. § 28-1-106</w:t>
        </w:r>
      </w:hyperlink>
      <w:r>
        <w:rPr>
          <w:rFonts w:ascii="arial" w:eastAsia="arial" w:hAnsi="arial" w:cs="arial"/>
          <w:b w:val="0"/>
          <w:i w:val="0"/>
          <w:strike w:val="0"/>
          <w:noProof w:val="0"/>
          <w:color w:val="000000"/>
          <w:position w:val="0"/>
          <w:sz w:val="20"/>
          <w:u w:val="none"/>
          <w:vertAlign w:val="baseline"/>
        </w:rPr>
        <w:t xml:space="preserve"> suspends the operation of the statute of limitations in this case so that claims arising from the tooth extraction and denture relining are not barred by the one-year statute of limitations. </w:t>
      </w:r>
      <w:r>
        <w:rPr>
          <w:rFonts w:ascii="arial" w:eastAsia="arial" w:hAnsi="arial" w:cs="arial"/>
          <w:vertAlign w:val="superscript"/>
        </w:rPr>
        <w:footnoteReference w:customMarkFollows="1" w:id="10"/>
        <w:t xml:space="preserve">9</w:t>
      </w:r>
      <w:r>
        <w:rPr>
          <w:rFonts w:ascii="arial" w:eastAsia="arial" w:hAnsi="arial" w:cs="arial"/>
          <w:b w:val="0"/>
          <w:i w:val="0"/>
          <w:strike w:val="0"/>
          <w:noProof w:val="0"/>
          <w:color w:val="000000"/>
          <w:position w:val="0"/>
          <w:sz w:val="20"/>
          <w:u w:val="none"/>
          <w:vertAlign w:val="baseline"/>
        </w:rPr>
        <w:t xml:space="preserve"> </w:t>
      </w:r>
    </w:p>
    <w:p>
      <w:pPr>
        <w:keepNext w:val="0"/>
        <w:widowControl w:val="0"/>
        <w:spacing w:before="200" w:after="0" w:line="260" w:lineRule="atLeast"/>
        <w:ind w:left="0" w:right="0" w:firstLine="0"/>
        <w:jc w:val="both"/>
      </w:pPr>
      <w:bookmarkStart w:id="139" w:name="Bookmark_I4XRHV0B0K1MNJ3CF0000400"/>
      <w:bookmarkEnd w:id="139"/>
      <w:r>
        <w:rPr>
          <w:rFonts w:ascii="arial" w:eastAsia="arial" w:hAnsi="arial" w:cs="arial"/>
          <w:b w:val="0"/>
          <w:i w:val="0"/>
          <w:strike w:val="0"/>
          <w:noProof w:val="0"/>
          <w:color w:val="000000"/>
          <w:position w:val="0"/>
          <w:sz w:val="20"/>
          <w:u w:val="none"/>
          <w:vertAlign w:val="baseline"/>
        </w:rPr>
        <w:t xml:space="preserve">The matter stands on a different footing when it comes to the statute of repose. As we stated above, </w:t>
      </w:r>
      <w:bookmarkStart w:id="140" w:name="Bookmark_LNHNREFclscc13"/>
      <w:bookmarkEnd w:id="140"/>
      <w:hyperlink r:id="rId125" w:history="1">
        <w:r>
          <w:rPr>
            <w:rFonts w:ascii="arial" w:eastAsia="arial" w:hAnsi="arial" w:cs="arial"/>
            <w:b/>
            <w:i/>
            <w:strike w:val="0"/>
            <w:noProof w:val="0"/>
            <w:color w:val="0077CC"/>
            <w:position w:val="0"/>
            <w:sz w:val="20"/>
            <w:u w:val="single"/>
            <w:shd w:val="clear" w:color="auto" w:fill="FFFFFF"/>
            <w:vertAlign w:val="baseline"/>
          </w:rPr>
          <w:t>HN13</w:t>
        </w:r>
      </w:hyperlink>
      <w:r>
        <w:rPr>
          <w:rFonts w:ascii="arial" w:eastAsia="arial" w:hAnsi="arial" w:cs="arial"/>
          <w:b w:val="0"/>
          <w:i w:val="0"/>
          <w:strike w:val="0"/>
          <w:noProof w:val="0"/>
          <w:color w:val="000000"/>
          <w:position w:val="0"/>
          <w:sz w:val="20"/>
          <w:u w:val="none"/>
          <w:vertAlign w:val="baseline"/>
        </w:rPr>
        <w:t>[</w:t>
      </w:r>
      <w:hyperlink w:anchor="Bookmark_clscc13" w:history="1">
        <w:r>
          <w:pict>
            <v:shape id="_x0000_i1058" type="#_x0000_t75" style="width:10.5pt;height:10.5pt">
              <v:imagedata r:id="rId47" o:title=""/>
            </v:shape>
          </w:pict>
        </w:r>
      </w:hyperlink>
      <w:r>
        <w:rPr>
          <w:rFonts w:ascii="arial" w:eastAsia="arial" w:hAnsi="arial" w:cs="arial"/>
          <w:b w:val="0"/>
          <w:i w:val="0"/>
          <w:strike w:val="0"/>
          <w:noProof w:val="0"/>
          <w:color w:val="000000"/>
          <w:position w:val="0"/>
          <w:sz w:val="20"/>
          <w:u w:val="none"/>
          <w:vertAlign w:val="baseline"/>
        </w:rPr>
        <w:t xml:space="preserve">] a statute of repose is meant to impose an absolute ceiling on the time within which a claim may be brought, and it operates independently of the date on which the cause of action is deemed to have accrued. The three year statute of repose for medical malpractice at </w:t>
      </w:r>
      <w:hyperlink r:id="rId126" w:history="1">
        <w:r>
          <w:rPr>
            <w:rFonts w:ascii="arial" w:eastAsia="arial" w:hAnsi="arial" w:cs="arial"/>
            <w:b w:val="0"/>
            <w:i/>
            <w:strike w:val="0"/>
            <w:noProof w:val="0"/>
            <w:color w:val="0077CC"/>
            <w:position w:val="0"/>
            <w:sz w:val="20"/>
            <w:u w:val="single"/>
            <w:shd w:val="clear" w:color="auto" w:fill="FFFFFF"/>
            <w:vertAlign w:val="baseline"/>
          </w:rPr>
          <w:t>Tenn. Code Ann. § 29-26-115(a)(3)</w:t>
        </w:r>
      </w:hyperlink>
      <w:r>
        <w:rPr>
          <w:rFonts w:ascii="arial" w:eastAsia="arial" w:hAnsi="arial" w:cs="arial"/>
          <w:b w:val="0"/>
          <w:i w:val="0"/>
          <w:strike w:val="0"/>
          <w:noProof w:val="0"/>
          <w:color w:val="000000"/>
          <w:position w:val="0"/>
          <w:sz w:val="20"/>
          <w:u w:val="none"/>
          <w:vertAlign w:val="baseline"/>
        </w:rPr>
        <w:t xml:space="preserve"> does not begin to run upon the date of discovery of the injury, but rather upon the date of the allegedly negligent act. </w:t>
      </w:r>
      <w:bookmarkStart w:id="141" w:name="Bookmark_I4XRHV0B0K1MNJ3CD0000400"/>
      <w:bookmarkEnd w:id="141"/>
      <w:hyperlink r:id="rId127" w:history="1">
        <w:r>
          <w:rPr>
            <w:rFonts w:ascii="arial" w:eastAsia="arial" w:hAnsi="arial" w:cs="arial"/>
            <w:b w:val="0"/>
            <w:i/>
            <w:strike w:val="0"/>
            <w:noProof w:val="0"/>
            <w:color w:val="0077CC"/>
            <w:position w:val="0"/>
            <w:sz w:val="20"/>
            <w:u w:val="single"/>
            <w:shd w:val="clear" w:color="auto" w:fill="FFFFFF"/>
            <w:vertAlign w:val="baseline"/>
          </w:rPr>
          <w:t>Benton v. Snyder</w:t>
        </w:r>
      </w:hyperlink>
      <w:hyperlink r:id="rId128" w:history="1">
        <w:r>
          <w:rPr>
            <w:rFonts w:ascii="arial" w:eastAsia="arial" w:hAnsi="arial" w:cs="arial"/>
            <w:b w:val="0"/>
            <w:i/>
            <w:strike w:val="0"/>
            <w:noProof w:val="0"/>
            <w:color w:val="0077CC"/>
            <w:position w:val="0"/>
            <w:sz w:val="20"/>
            <w:u w:val="single"/>
            <w:shd w:val="clear" w:color="auto" w:fill="FFFFFF"/>
            <w:vertAlign w:val="baseline"/>
          </w:rPr>
          <w:t>, 825 S.W.2d at 413</w:t>
        </w:r>
      </w:hyperlink>
      <w:r>
        <w:rPr>
          <w:rFonts w:ascii="arial" w:eastAsia="arial" w:hAnsi="arial" w:cs="arial"/>
          <w:b w:val="0"/>
          <w:i w:val="0"/>
          <w:strike w:val="0"/>
          <w:noProof w:val="0"/>
          <w:color w:val="000000"/>
          <w:position w:val="0"/>
          <w:sz w:val="20"/>
          <w:u w:val="none"/>
          <w:vertAlign w:val="baseline"/>
        </w:rPr>
        <w:t xml:space="preserve"> (citing </w:t>
      </w:r>
      <w:bookmarkStart w:id="142" w:name="Bookmark_I4XRHV0B0K1MNJ3H70000400"/>
      <w:bookmarkEnd w:id="142"/>
      <w:hyperlink r:id="rId129" w:history="1">
        <w:r>
          <w:rPr>
            <w:rFonts w:ascii="arial" w:eastAsia="arial" w:hAnsi="arial" w:cs="arial"/>
            <w:b w:val="0"/>
            <w:i/>
            <w:strike w:val="0"/>
            <w:noProof w:val="0"/>
            <w:color w:val="0077CC"/>
            <w:position w:val="0"/>
            <w:sz w:val="20"/>
            <w:u w:val="single"/>
            <w:shd w:val="clear" w:color="auto" w:fill="FFFFFF"/>
            <w:vertAlign w:val="baseline"/>
          </w:rPr>
          <w:t>Braden v. Yoder</w:t>
        </w:r>
      </w:hyperlink>
      <w:hyperlink r:id="rId130" w:history="1">
        <w:r>
          <w:rPr>
            <w:rFonts w:ascii="arial" w:eastAsia="arial" w:hAnsi="arial" w:cs="arial"/>
            <w:b w:val="0"/>
            <w:i/>
            <w:strike w:val="0"/>
            <w:noProof w:val="0"/>
            <w:color w:val="0077CC"/>
            <w:position w:val="0"/>
            <w:sz w:val="20"/>
            <w:u w:val="single"/>
            <w:shd w:val="clear" w:color="auto" w:fill="FFFFFF"/>
            <w:vertAlign w:val="baseline"/>
          </w:rPr>
          <w:t>, 592 S.W.2d 896, 897 (Tenn. Ct. App. 1979))</w:t>
        </w:r>
      </w:hyperlink>
      <w:r>
        <w:rPr>
          <w:rFonts w:ascii="arial" w:eastAsia="arial" w:hAnsi="arial" w:cs="arial"/>
          <w:b w:val="0"/>
          <w:i w:val="0"/>
          <w:strike w:val="0"/>
          <w:noProof w:val="0"/>
          <w:color w:val="000000"/>
          <w:position w:val="0"/>
          <w:sz w:val="20"/>
          <w:u w:val="none"/>
          <w:vertAlign w:val="baseline"/>
        </w:rPr>
        <w:t xml:space="preserve">. Since the tooth extraction occurred in August of 2000 and suit was not filed until December 1, 2003, any claim based on the extraction is barred by the statute of repose. </w:t>
      </w:r>
      <w:r>
        <w:rPr>
          <w:rFonts w:ascii="arial" w:eastAsia="arial" w:hAnsi="arial" w:cs="arial"/>
          <w:vertAlign w:val="superscript"/>
        </w:rPr>
        <w:footnoteReference w:customMarkFollows="1" w:id="11"/>
        <w:t xml:space="preserve">10</w:t>
      </w:r>
      <w:r>
        <w:rPr>
          <w:rFonts w:ascii="arial" w:eastAsia="arial" w:hAnsi="arial" w:cs="arial"/>
          <w:b w:val="0"/>
          <w:i w:val="0"/>
          <w:strike w:val="0"/>
          <w:noProof w:val="0"/>
          <w:color w:val="000000"/>
          <w:position w:val="0"/>
          <w:sz w:val="20"/>
          <w:u w:val="none"/>
          <w:vertAlign w:val="baseline"/>
        </w:rPr>
        <w:t xml:space="preserve"> Defendant relined Ms. Ranges' dentures in November of 2001, so the statute of repose does not bar claims arising from that act. Consequently, the trial court is affirmed in its finding that any claim resulting from </w:t>
      </w:r>
      <w:r>
        <w:rPr>
          <w:rFonts w:ascii="arial" w:eastAsia="arial" w:hAnsi="arial" w:cs="arial"/>
          <w:b/>
          <w:i w:val="0"/>
          <w:strike w:val="0"/>
          <w:noProof w:val="0"/>
          <w:color w:val="000000"/>
          <w:position w:val="0"/>
          <w:sz w:val="20"/>
          <w:u w:val="none"/>
          <w:vertAlign w:val="baseline"/>
        </w:rPr>
        <w:t> [*21] </w:t>
      </w:r>
      <w:r>
        <w:rPr>
          <w:rFonts w:ascii="arial" w:eastAsia="arial" w:hAnsi="arial" w:cs="arial"/>
          <w:b w:val="0"/>
          <w:i w:val="0"/>
          <w:strike w:val="0"/>
          <w:noProof w:val="0"/>
          <w:color w:val="000000"/>
          <w:position w:val="0"/>
          <w:sz w:val="20"/>
          <w:u w:val="none"/>
          <w:vertAlign w:val="baseline"/>
        </w:rPr>
        <w:t>the extractions is time barred. The only remaining claims, therefore, pertain to the denture relining.</w:t>
      </w:r>
    </w:p>
    <w:p>
      <w:pPr>
        <w:keepNext w:val="0"/>
        <w:widowControl w:val="0"/>
        <w:spacing w:before="24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We are not persuaded by Mr. Range's argument that the medical malpractice statute of repose applies only to his medical malpractice claim and is inapplicable to his battery claim. </w:t>
      </w:r>
      <w:bookmarkStart w:id="149" w:name="Bookmark_I4XRHV0B0K1MNJ3J30000400"/>
      <w:bookmarkEnd w:id="149"/>
      <w:r>
        <w:rPr>
          <w:rFonts w:ascii="arial" w:eastAsia="arial" w:hAnsi="arial" w:cs="arial"/>
          <w:b w:val="0"/>
          <w:i w:val="0"/>
          <w:strike w:val="0"/>
          <w:noProof w:val="0"/>
          <w:color w:val="000000"/>
          <w:position w:val="0"/>
          <w:sz w:val="20"/>
          <w:u w:val="none"/>
          <w:vertAlign w:val="baseline"/>
        </w:rPr>
        <w:t xml:space="preserve">First, he did not raise that issue in the court below. </w:t>
      </w:r>
      <w:bookmarkStart w:id="150" w:name="Bookmark_I14GCWSDCGB000GB21V000F5"/>
      <w:bookmarkEnd w:id="150"/>
      <w:bookmarkStart w:id="151" w:name="Bookmark_I4XRHV0B0K1MNJ3JD0000400"/>
      <w:bookmarkEnd w:id="151"/>
      <w:bookmarkStart w:id="152" w:name="Bookmark_LNHNREFclscc14"/>
      <w:bookmarkEnd w:id="152"/>
      <w:hyperlink r:id="rId131" w:history="1">
        <w:r>
          <w:rPr>
            <w:rFonts w:ascii="arial" w:eastAsia="arial" w:hAnsi="arial" w:cs="arial"/>
            <w:b/>
            <w:i/>
            <w:strike w:val="0"/>
            <w:noProof w:val="0"/>
            <w:color w:val="0077CC"/>
            <w:position w:val="0"/>
            <w:sz w:val="20"/>
            <w:u w:val="single"/>
            <w:shd w:val="clear" w:color="auto" w:fill="FFFFFF"/>
            <w:vertAlign w:val="baseline"/>
          </w:rPr>
          <w:t>HN14</w:t>
        </w:r>
      </w:hyperlink>
      <w:r>
        <w:rPr>
          <w:rFonts w:ascii="arial" w:eastAsia="arial" w:hAnsi="arial" w:cs="arial"/>
          <w:b w:val="0"/>
          <w:i w:val="0"/>
          <w:strike w:val="0"/>
          <w:noProof w:val="0"/>
          <w:color w:val="000000"/>
          <w:position w:val="0"/>
          <w:sz w:val="20"/>
          <w:u w:val="none"/>
          <w:vertAlign w:val="baseline"/>
        </w:rPr>
        <w:t>[</w:t>
      </w:r>
      <w:hyperlink w:anchor="Bookmark_clscc14" w:history="1">
        <w:r>
          <w:pict>
            <v:shape id="_x0000_i1059" type="#_x0000_t75" style="width:10.5pt;height:10.5pt">
              <v:imagedata r:id="rId47" o:title=""/>
            </v:shape>
          </w:pict>
        </w:r>
      </w:hyperlink>
      <w:r>
        <w:rPr>
          <w:rFonts w:ascii="arial" w:eastAsia="arial" w:hAnsi="arial" w:cs="arial"/>
          <w:b w:val="0"/>
          <w:i w:val="0"/>
          <w:strike w:val="0"/>
          <w:noProof w:val="0"/>
          <w:color w:val="000000"/>
          <w:position w:val="0"/>
          <w:sz w:val="20"/>
          <w:u w:val="none"/>
          <w:vertAlign w:val="baseline"/>
        </w:rPr>
        <w:t xml:space="preserve">] Under </w:t>
      </w:r>
      <w:hyperlink r:id="rId132" w:history="1">
        <w:r>
          <w:rPr>
            <w:rFonts w:ascii="arial" w:eastAsia="arial" w:hAnsi="arial" w:cs="arial"/>
            <w:b w:val="0"/>
            <w:i/>
            <w:strike w:val="0"/>
            <w:noProof w:val="0"/>
            <w:color w:val="0077CC"/>
            <w:position w:val="0"/>
            <w:sz w:val="20"/>
            <w:u w:val="single"/>
            <w:shd w:val="clear" w:color="auto" w:fill="FFFFFF"/>
            <w:vertAlign w:val="baseline"/>
          </w:rPr>
          <w:t>Tenn. R. App. P. Rule 36</w:t>
        </w:r>
      </w:hyperlink>
      <w:r>
        <w:rPr>
          <w:rFonts w:ascii="arial" w:eastAsia="arial" w:hAnsi="arial" w:cs="arial"/>
          <w:b w:val="0"/>
          <w:i w:val="0"/>
          <w:strike w:val="0"/>
          <w:noProof w:val="0"/>
          <w:color w:val="000000"/>
          <w:position w:val="0"/>
          <w:sz w:val="20"/>
          <w:u w:val="none"/>
          <w:vertAlign w:val="baseline"/>
        </w:rPr>
        <w:t xml:space="preserve">, this court is not required to grant relief "to a party responsible for an error or who failed to take whatever action was reasonably available to prevent or nullify the harmful effect of an error." Thus, appellate courts will generally </w:t>
      </w:r>
      <w:r>
        <w:rPr>
          <w:rFonts w:ascii="arial" w:eastAsia="arial" w:hAnsi="arial" w:cs="arial"/>
          <w:b/>
          <w:i w:val="0"/>
          <w:strike w:val="0"/>
          <w:noProof w:val="0"/>
          <w:color w:val="000000"/>
          <w:position w:val="0"/>
          <w:sz w:val="20"/>
          <w:u w:val="none"/>
          <w:vertAlign w:val="baseline"/>
        </w:rPr>
        <w:t> [*22] </w:t>
      </w:r>
      <w:r>
        <w:rPr>
          <w:rFonts w:ascii="arial" w:eastAsia="arial" w:hAnsi="arial" w:cs="arial"/>
          <w:b w:val="0"/>
          <w:i w:val="0"/>
          <w:strike w:val="0"/>
          <w:noProof w:val="0"/>
          <w:color w:val="000000"/>
          <w:position w:val="0"/>
          <w:sz w:val="20"/>
          <w:u w:val="none"/>
          <w:vertAlign w:val="baseline"/>
        </w:rPr>
        <w:t xml:space="preserve">decline to consider issues that were not raised first in the trial court. </w:t>
      </w:r>
      <w:bookmarkStart w:id="153" w:name="Bookmark_I4XRHV0B0K1MNJ3J20000400"/>
      <w:bookmarkEnd w:id="153"/>
      <w:hyperlink r:id="rId133" w:history="1">
        <w:r>
          <w:rPr>
            <w:rFonts w:ascii="arial" w:eastAsia="arial" w:hAnsi="arial" w:cs="arial"/>
            <w:b w:val="0"/>
            <w:i/>
            <w:strike w:val="0"/>
            <w:noProof w:val="0"/>
            <w:color w:val="0077CC"/>
            <w:position w:val="0"/>
            <w:sz w:val="20"/>
            <w:u w:val="single"/>
            <w:shd w:val="clear" w:color="auto" w:fill="FFFFFF"/>
            <w:vertAlign w:val="baseline"/>
          </w:rPr>
          <w:t>Heatherly v. Merrimack Mutual Fire Ins. Co</w:t>
        </w:r>
      </w:hyperlink>
      <w:hyperlink r:id="rId134" w:history="1">
        <w:r>
          <w:rPr>
            <w:rFonts w:ascii="arial" w:eastAsia="arial" w:hAnsi="arial" w:cs="arial"/>
            <w:b w:val="0"/>
            <w:i/>
            <w:strike w:val="0"/>
            <w:noProof w:val="0"/>
            <w:color w:val="0077CC"/>
            <w:position w:val="0"/>
            <w:sz w:val="20"/>
            <w:u w:val="single"/>
            <w:shd w:val="clear" w:color="auto" w:fill="FFFFFF"/>
            <w:vertAlign w:val="baseline"/>
          </w:rPr>
          <w:t>., 43 S.W.3d 911, 916 (Tenn. Ct. App. 2000)</w:t>
        </w:r>
      </w:hyperlink>
      <w:r>
        <w:rPr>
          <w:rFonts w:ascii="arial" w:eastAsia="arial" w:hAnsi="arial" w:cs="arial"/>
          <w:b w:val="0"/>
          <w:i w:val="0"/>
          <w:strike w:val="0"/>
          <w:noProof w:val="0"/>
          <w:color w:val="000000"/>
          <w:position w:val="0"/>
          <w:sz w:val="20"/>
          <w:u w:val="none"/>
          <w:vertAlign w:val="baseline"/>
        </w:rPr>
        <w:t xml:space="preserve">; </w:t>
      </w:r>
      <w:bookmarkStart w:id="154" w:name="Bookmark_I4XRHV0B0K1MNJ3J40000400"/>
      <w:bookmarkEnd w:id="154"/>
      <w:hyperlink r:id="rId135" w:history="1">
        <w:r>
          <w:rPr>
            <w:rFonts w:ascii="arial" w:eastAsia="arial" w:hAnsi="arial" w:cs="arial"/>
            <w:b w:val="0"/>
            <w:i/>
            <w:strike w:val="0"/>
            <w:noProof w:val="0"/>
            <w:color w:val="0077CC"/>
            <w:position w:val="0"/>
            <w:sz w:val="20"/>
            <w:u w:val="single"/>
            <w:shd w:val="clear" w:color="auto" w:fill="FFFFFF"/>
            <w:vertAlign w:val="baseline"/>
          </w:rPr>
          <w:t>Reid v. State</w:t>
        </w:r>
      </w:hyperlink>
      <w:hyperlink r:id="rId136" w:history="1">
        <w:r>
          <w:rPr>
            <w:rFonts w:ascii="arial" w:eastAsia="arial" w:hAnsi="arial" w:cs="arial"/>
            <w:b w:val="0"/>
            <w:i/>
            <w:strike w:val="0"/>
            <w:noProof w:val="0"/>
            <w:color w:val="0077CC"/>
            <w:position w:val="0"/>
            <w:sz w:val="20"/>
            <w:u w:val="single"/>
            <w:shd w:val="clear" w:color="auto" w:fill="FFFFFF"/>
            <w:vertAlign w:val="baseline"/>
          </w:rPr>
          <w:t>, 9 S.W.3d 788, 796 (Tenn. Ct. App. 1999)</w:t>
        </w:r>
      </w:hyperlink>
      <w:r>
        <w:rPr>
          <w:rFonts w:ascii="arial" w:eastAsia="arial" w:hAnsi="arial" w:cs="arial"/>
          <w:b w:val="0"/>
          <w:i w:val="0"/>
          <w:strike w:val="0"/>
          <w:noProof w:val="0"/>
          <w:color w:val="000000"/>
          <w:position w:val="0"/>
          <w:sz w:val="20"/>
          <w:u w:val="none"/>
          <w:vertAlign w:val="baseline"/>
        </w:rPr>
        <w:t xml:space="preserve">. </w:t>
      </w:r>
      <w:bookmarkStart w:id="155" w:name="Bookmark_I4XRHV0B0K1MNJ3JD0000400_2"/>
      <w:bookmarkEnd w:id="155"/>
      <w:r>
        <w:rPr>
          <w:rFonts w:ascii="arial" w:eastAsia="arial" w:hAnsi="arial" w:cs="arial"/>
          <w:b w:val="0"/>
          <w:i w:val="0"/>
          <w:strike w:val="0"/>
          <w:noProof w:val="0"/>
          <w:color w:val="000000"/>
          <w:position w:val="0"/>
          <w:sz w:val="20"/>
          <w:u w:val="none"/>
          <w:vertAlign w:val="baseline"/>
        </w:rPr>
        <w:t xml:space="preserve">Second, we note that in </w:t>
      </w:r>
      <w:bookmarkStart w:id="156" w:name="Bookmark_I4XRHV0B0K1MNJ3JC0000400"/>
      <w:bookmarkEnd w:id="156"/>
      <w:hyperlink r:id="rId137" w:history="1">
        <w:r>
          <w:rPr>
            <w:rFonts w:ascii="arial" w:eastAsia="arial" w:hAnsi="arial" w:cs="arial"/>
            <w:b w:val="0"/>
            <w:i/>
            <w:strike w:val="0"/>
            <w:noProof w:val="0"/>
            <w:color w:val="0077CC"/>
            <w:position w:val="0"/>
            <w:sz w:val="20"/>
            <w:u w:val="single"/>
            <w:shd w:val="clear" w:color="auto" w:fill="FFFFFF"/>
            <w:vertAlign w:val="baseline"/>
          </w:rPr>
          <w:t>Benton v. Snyder</w:t>
        </w:r>
      </w:hyperlink>
      <w:hyperlink r:id="rId138" w:history="1">
        <w:r>
          <w:rPr>
            <w:rFonts w:ascii="arial" w:eastAsia="arial" w:hAnsi="arial" w:cs="arial"/>
            <w:b w:val="0"/>
            <w:i/>
            <w:strike w:val="0"/>
            <w:noProof w:val="0"/>
            <w:color w:val="0077CC"/>
            <w:position w:val="0"/>
            <w:sz w:val="20"/>
            <w:u w:val="single"/>
            <w:shd w:val="clear" w:color="auto" w:fill="FFFFFF"/>
            <w:vertAlign w:val="baseline"/>
          </w:rPr>
          <w:t>, 825 S.W.2d 409 (Tenn. 1992)</w:t>
        </w:r>
      </w:hyperlink>
      <w:r>
        <w:rPr>
          <w:rFonts w:ascii="arial" w:eastAsia="arial" w:hAnsi="arial" w:cs="arial"/>
          <w:b w:val="0"/>
          <w:i w:val="0"/>
          <w:strike w:val="0"/>
          <w:noProof w:val="0"/>
          <w:color w:val="000000"/>
          <w:position w:val="0"/>
          <w:sz w:val="20"/>
          <w:u w:val="none"/>
          <w:vertAlign w:val="baseline"/>
        </w:rPr>
        <w:t>, our Supreme Court applied the three year medical malpractice statute of repose to a claim for battery against a surgeon who allegedly performed a sterilization procedure on a female patient without her consent during an emergency cesarean section.</w:t>
      </w:r>
    </w:p>
    <w:p>
      <w:pPr>
        <w:keepNext w:val="0"/>
        <w:widowControl w:val="0"/>
        <w:spacing w:before="20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We are also unpersuaded by Mr. Range's claims that the statute of repose is extended by Dr. Sowell's alleged fraudulent concealment. </w:t>
      </w:r>
      <w:bookmarkStart w:id="157" w:name="Bookmark_LNHNREFclscc15"/>
      <w:bookmarkEnd w:id="157"/>
      <w:hyperlink r:id="rId139" w:history="1">
        <w:r>
          <w:rPr>
            <w:rFonts w:ascii="arial" w:eastAsia="arial" w:hAnsi="arial" w:cs="arial"/>
            <w:b/>
            <w:i/>
            <w:strike w:val="0"/>
            <w:noProof w:val="0"/>
            <w:color w:val="0077CC"/>
            <w:position w:val="0"/>
            <w:sz w:val="20"/>
            <w:u w:val="single"/>
            <w:shd w:val="clear" w:color="auto" w:fill="FFFFFF"/>
            <w:vertAlign w:val="baseline"/>
          </w:rPr>
          <w:t>HN15</w:t>
        </w:r>
      </w:hyperlink>
      <w:r>
        <w:rPr>
          <w:rFonts w:ascii="arial" w:eastAsia="arial" w:hAnsi="arial" w:cs="arial"/>
          <w:b w:val="0"/>
          <w:i w:val="0"/>
          <w:strike w:val="0"/>
          <w:noProof w:val="0"/>
          <w:color w:val="000000"/>
          <w:position w:val="0"/>
          <w:sz w:val="20"/>
          <w:u w:val="none"/>
          <w:vertAlign w:val="baseline"/>
        </w:rPr>
        <w:t>[</w:t>
      </w:r>
      <w:hyperlink w:anchor="Bookmark_clscc15" w:history="1">
        <w:r>
          <w:pict>
            <v:shape id="_x0000_i1060" type="#_x0000_t75" style="width:10.5pt;height:10.5pt">
              <v:imagedata r:id="rId47" o:title=""/>
            </v:shape>
          </w:pict>
        </w:r>
      </w:hyperlink>
      <w:r>
        <w:rPr>
          <w:rFonts w:ascii="arial" w:eastAsia="arial" w:hAnsi="arial" w:cs="arial"/>
          <w:b w:val="0"/>
          <w:i w:val="0"/>
          <w:strike w:val="0"/>
          <w:noProof w:val="0"/>
          <w:color w:val="000000"/>
          <w:position w:val="0"/>
          <w:sz w:val="20"/>
          <w:u w:val="none"/>
          <w:vertAlign w:val="baseline"/>
        </w:rPr>
        <w:t xml:space="preserve">] The statute of repose for medical malpractice (and for medical battery as well) is three years, although </w:t>
      </w:r>
      <w:hyperlink r:id="rId140" w:history="1">
        <w:r>
          <w:rPr>
            <w:rFonts w:ascii="arial" w:eastAsia="arial" w:hAnsi="arial" w:cs="arial"/>
            <w:b w:val="0"/>
            <w:i/>
            <w:strike w:val="0"/>
            <w:noProof w:val="0"/>
            <w:color w:val="0077CC"/>
            <w:position w:val="0"/>
            <w:sz w:val="20"/>
            <w:u w:val="single"/>
            <w:shd w:val="clear" w:color="auto" w:fill="FFFFFF"/>
            <w:vertAlign w:val="baseline"/>
          </w:rPr>
          <w:t>Tenn. Code Ann. § 29-26-116(a)(3)</w:t>
        </w:r>
      </w:hyperlink>
      <w:r>
        <w:rPr>
          <w:rFonts w:ascii="arial" w:eastAsia="arial" w:hAnsi="arial" w:cs="arial"/>
          <w:b w:val="0"/>
          <w:i w:val="0"/>
          <w:strike w:val="0"/>
          <w:noProof w:val="0"/>
          <w:color w:val="000000"/>
          <w:position w:val="0"/>
          <w:sz w:val="20"/>
          <w:u w:val="none"/>
          <w:vertAlign w:val="baseline"/>
        </w:rPr>
        <w:t xml:space="preserve"> allows for its extension in cases involving fraudulent concealment. Mr. Range offers a range of allegations about delays in the delivery of medical records to suggest that he is entitled to the fraudulent concealment extension, none of which we believe amounts to fraudulent concealment. But even if we conceded, </w:t>
      </w:r>
      <w:r>
        <w:rPr>
          <w:rFonts w:ascii="arial" w:eastAsia="arial" w:hAnsi="arial" w:cs="arial"/>
          <w:b w:val="0"/>
          <w:i/>
          <w:strike w:val="0"/>
          <w:noProof w:val="0"/>
          <w:color w:val="000000"/>
          <w:position w:val="0"/>
          <w:sz w:val="20"/>
          <w:u w:val="none"/>
          <w:vertAlign w:val="baseline"/>
        </w:rPr>
        <w:t>arguendo</w:t>
      </w:r>
      <w:r>
        <w:rPr>
          <w:rFonts w:ascii="arial" w:eastAsia="arial" w:hAnsi="arial" w:cs="arial"/>
          <w:b w:val="0"/>
          <w:i w:val="0"/>
          <w:strike w:val="0"/>
          <w:noProof w:val="0"/>
          <w:color w:val="000000"/>
          <w:position w:val="0"/>
          <w:sz w:val="20"/>
          <w:u w:val="none"/>
          <w:vertAlign w:val="baseline"/>
        </w:rPr>
        <w:t xml:space="preserve">, that Mr. Range's various allegations somehow demonstrated that Dr. Sowell </w:t>
      </w:r>
      <w:r>
        <w:rPr>
          <w:rFonts w:ascii="arial" w:eastAsia="arial" w:hAnsi="arial" w:cs="arial"/>
          <w:b/>
          <w:i w:val="0"/>
          <w:strike w:val="0"/>
          <w:noProof w:val="0"/>
          <w:color w:val="000000"/>
          <w:position w:val="0"/>
          <w:sz w:val="20"/>
          <w:u w:val="none"/>
          <w:vertAlign w:val="baseline"/>
        </w:rPr>
        <w:t> [*23] </w:t>
      </w:r>
      <w:r>
        <w:rPr>
          <w:rFonts w:ascii="arial" w:eastAsia="arial" w:hAnsi="arial" w:cs="arial"/>
          <w:b w:val="0"/>
          <w:i w:val="0"/>
          <w:strike w:val="0"/>
          <w:noProof w:val="0"/>
          <w:color w:val="000000"/>
          <w:position w:val="0"/>
          <w:sz w:val="20"/>
          <w:u w:val="none"/>
          <w:vertAlign w:val="baseline"/>
        </w:rPr>
        <w:t>had fraudulently concealed from Mr. Range the fact that he had performed dental work on his mother, payment of the bill for Dr. Sowell's services in March of 2002 triggered the one-year period allowed in the event of fraudulent concealment which allows the claim to be brought "within one (1) year after discovery that the cause of action exists." The cause of action was known in February and March of 2002 but the claim, however, was not filed until over a year later, in December of 2003.</w:t>
      </w:r>
    </w:p>
    <w:p>
      <w:pPr>
        <w:keepNext w:val="0"/>
        <w:widowControl w:val="0"/>
        <w:spacing w:before="20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It therefore logically follows that the trial court was correct to hold that the three-year statute of repose had passed on any claims based upon the August 21, 2000 extraction of Katherine Range's tooth prior to the filing of the present lawsuit. Thus, the only remaining claims that are not time-barred are those based on the relining of Ms. Range's dentures in November of 2001.</w:t>
      </w:r>
    </w:p>
    <w:p>
      <w:pPr>
        <w:keepNext w:val="0"/>
        <w:widowControl w:val="0"/>
        <w:spacing w:before="240" w:after="0" w:line="260" w:lineRule="atLeast"/>
        <w:ind w:left="0" w:right="0" w:firstLine="0"/>
        <w:jc w:val="left"/>
      </w:pPr>
      <w:r>
        <w:br/>
      </w:r>
      <w:r>
        <w:rPr>
          <w:rFonts w:ascii="arial" w:eastAsia="arial" w:hAnsi="arial" w:cs="arial"/>
          <w:b/>
          <w:i w:val="0"/>
          <w:strike w:val="0"/>
          <w:noProof w:val="0"/>
          <w:color w:val="000000"/>
          <w:position w:val="0"/>
          <w:sz w:val="20"/>
          <w:u w:val="none"/>
          <w:vertAlign w:val="baseline"/>
        </w:rPr>
        <w:t>V. INJURY</w:t>
      </w:r>
    </w:p>
    <w:p>
      <w:pPr>
        <w:keepNext w:val="0"/>
        <w:widowControl w:val="0"/>
        <w:spacing w:before="20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In addition to holding that the plaintiff's claims were time barred, the trial court also held that Dr. Sowell was entitled to a judgment as a matter of law because the plaintiff had no proof that any of Dr. Sowell's alleged acts or omissions were the proximate cause of any injury to Ms. Range. Our determination that </w:t>
      </w:r>
      <w:r>
        <w:rPr>
          <w:rFonts w:ascii="arial" w:eastAsia="arial" w:hAnsi="arial" w:cs="arial"/>
          <w:b/>
          <w:i w:val="0"/>
          <w:strike w:val="0"/>
          <w:noProof w:val="0"/>
          <w:color w:val="000000"/>
          <w:position w:val="0"/>
          <w:sz w:val="20"/>
          <w:u w:val="none"/>
          <w:vertAlign w:val="baseline"/>
        </w:rPr>
        <w:t> [*24] </w:t>
      </w:r>
      <w:r>
        <w:rPr>
          <w:rFonts w:ascii="arial" w:eastAsia="arial" w:hAnsi="arial" w:cs="arial"/>
          <w:b w:val="0"/>
          <w:i w:val="0"/>
          <w:strike w:val="0"/>
          <w:noProof w:val="0"/>
          <w:color w:val="000000"/>
          <w:position w:val="0"/>
          <w:sz w:val="20"/>
          <w:u w:val="none"/>
          <w:vertAlign w:val="baseline"/>
        </w:rPr>
        <w:t>the statute of repose bars claims based on the August 2000 extraction procedure means we need only consider injuries arising out of the November 2001 relining procedure. Because the plaintiff failed to produce any evidence that Ms. Range suffered a compensable injury as a result of the November 2001 relining procedure, summary judgment was appropriate.</w:t>
      </w:r>
    </w:p>
    <w:p>
      <w:pPr>
        <w:keepNext w:val="0"/>
        <w:widowControl w:val="0"/>
        <w:spacing w:before="240" w:after="0" w:line="260" w:lineRule="atLeast"/>
        <w:ind w:left="0" w:right="0" w:firstLine="0"/>
        <w:jc w:val="both"/>
      </w:pPr>
      <w:bookmarkStart w:id="158" w:name="Bookmark_LNHNREFclscc16"/>
      <w:bookmarkEnd w:id="158"/>
      <w:hyperlink r:id="rId141" w:history="1">
        <w:r>
          <w:rPr>
            <w:rFonts w:ascii="arial" w:eastAsia="arial" w:hAnsi="arial" w:cs="arial"/>
            <w:b/>
            <w:i/>
            <w:strike w:val="0"/>
            <w:color w:val="0077CC"/>
            <w:sz w:val="20"/>
            <w:u w:val="single"/>
            <w:shd w:val="clear" w:color="auto" w:fill="FFFFFF"/>
            <w:vertAlign w:val="baseline"/>
          </w:rPr>
          <w:t>HN16</w:t>
        </w:r>
      </w:hyperlink>
      <w:r>
        <w:rPr>
          <w:rFonts w:ascii="arial" w:eastAsia="arial" w:hAnsi="arial" w:cs="arial"/>
          <w:b w:val="0"/>
          <w:i w:val="0"/>
          <w:strike w:val="0"/>
          <w:noProof w:val="0"/>
          <w:color w:val="000000"/>
          <w:position w:val="0"/>
          <w:sz w:val="20"/>
          <w:u w:val="none"/>
          <w:vertAlign w:val="baseline"/>
        </w:rPr>
        <w:t>[</w:t>
      </w:r>
      <w:hyperlink w:anchor="Bookmark_clscc16" w:history="1">
        <w:r>
          <w:pict>
            <v:shape id="_x0000_i1061" type="#_x0000_t75" style="width:10.5pt;height:10.5pt">
              <v:imagedata r:id="rId47" o:title=""/>
            </v:shape>
          </w:pict>
        </w:r>
      </w:hyperlink>
      <w:r>
        <w:rPr>
          <w:rFonts w:ascii="arial" w:eastAsia="arial" w:hAnsi="arial" w:cs="arial"/>
          <w:b w:val="0"/>
          <w:i w:val="0"/>
          <w:strike w:val="0"/>
          <w:noProof w:val="0"/>
          <w:color w:val="000000"/>
          <w:position w:val="0"/>
          <w:sz w:val="20"/>
          <w:u w:val="none"/>
          <w:vertAlign w:val="baseline"/>
        </w:rPr>
        <w:t xml:space="preserve">] Whether a claim is for medical malpractice or battery, injury is an essential element of the claim. In order to prevail on a medical malpractice claim, the plaintiff must prove that she suffered an injury as the result of the negligence of a defendant who failed to act with ordinary and reasonable care in accordance with the recognized standard of professional practice in his profession. </w:t>
      </w:r>
      <w:bookmarkStart w:id="159" w:name="Bookmark_I4XRHV0B0K1MNJ3JG0000400"/>
      <w:bookmarkEnd w:id="159"/>
      <w:hyperlink r:id="rId142" w:history="1">
        <w:r>
          <w:rPr>
            <w:rFonts w:ascii="arial" w:eastAsia="arial" w:hAnsi="arial" w:cs="arial"/>
            <w:b w:val="0"/>
            <w:i/>
            <w:strike w:val="0"/>
            <w:noProof w:val="0"/>
            <w:color w:val="0077CC"/>
            <w:position w:val="0"/>
            <w:sz w:val="20"/>
            <w:u w:val="single"/>
            <w:shd w:val="clear" w:color="auto" w:fill="FFFFFF"/>
            <w:vertAlign w:val="baseline"/>
          </w:rPr>
          <w:t>Tenn. Code Ann. § 29-26-115</w:t>
        </w:r>
      </w:hyperlink>
      <w:r>
        <w:rPr>
          <w:rFonts w:ascii="arial" w:eastAsia="arial" w:hAnsi="arial" w:cs="arial"/>
          <w:b w:val="0"/>
          <w:i w:val="0"/>
          <w:strike w:val="0"/>
          <w:noProof w:val="0"/>
          <w:color w:val="000000"/>
          <w:position w:val="0"/>
          <w:sz w:val="20"/>
          <w:u w:val="none"/>
          <w:vertAlign w:val="baseline"/>
        </w:rPr>
        <w:t xml:space="preserve">. When the claim is for medical battery, liability attaches for any injuries resulting from the treatment or procedure not consented to, regardless of whether or not those injuries resulted from negligence. </w:t>
      </w:r>
      <w:bookmarkStart w:id="160" w:name="Bookmark_I4XRHV0B0K1MNJ3JF0000400"/>
      <w:bookmarkEnd w:id="160"/>
      <w:hyperlink r:id="rId143" w:history="1">
        <w:r>
          <w:rPr>
            <w:rFonts w:ascii="arial" w:eastAsia="arial" w:hAnsi="arial" w:cs="arial"/>
            <w:b w:val="0"/>
            <w:i/>
            <w:strike w:val="0"/>
            <w:noProof w:val="0"/>
            <w:color w:val="0077CC"/>
            <w:position w:val="0"/>
            <w:sz w:val="20"/>
            <w:u w:val="single"/>
            <w:shd w:val="clear" w:color="auto" w:fill="FFFFFF"/>
            <w:vertAlign w:val="baseline"/>
          </w:rPr>
          <w:t>Shadrick v. Coker</w:t>
        </w:r>
      </w:hyperlink>
      <w:hyperlink r:id="rId144" w:history="1">
        <w:r>
          <w:rPr>
            <w:rFonts w:ascii="arial" w:eastAsia="arial" w:hAnsi="arial" w:cs="arial"/>
            <w:b w:val="0"/>
            <w:i/>
            <w:strike w:val="0"/>
            <w:noProof w:val="0"/>
            <w:color w:val="0077CC"/>
            <w:position w:val="0"/>
            <w:sz w:val="20"/>
            <w:u w:val="single"/>
            <w:shd w:val="clear" w:color="auto" w:fill="FFFFFF"/>
            <w:vertAlign w:val="baseline"/>
          </w:rPr>
          <w:t>, 963 S.W.2d at 732</w:t>
        </w:r>
      </w:hyperlink>
      <w:r>
        <w:rPr>
          <w:rFonts w:ascii="arial" w:eastAsia="arial" w:hAnsi="arial" w:cs="arial"/>
          <w:b w:val="0"/>
          <w:i w:val="0"/>
          <w:strike w:val="0"/>
          <w:noProof w:val="0"/>
          <w:color w:val="000000"/>
          <w:position w:val="0"/>
          <w:sz w:val="20"/>
          <w:u w:val="none"/>
          <w:vertAlign w:val="baseline"/>
        </w:rPr>
        <w:t>. In either case, there must be a showing of some sort of compensable injury in order for the plaintiff to prevail.</w:t>
      </w:r>
    </w:p>
    <w:p>
      <w:pPr>
        <w:keepNext w:val="0"/>
        <w:widowControl w:val="0"/>
        <w:spacing w:before="20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Dr. Sowell's motion for summary judgment was supported by Dr. Sowell's </w:t>
      </w:r>
      <w:r>
        <w:rPr>
          <w:rFonts w:ascii="arial" w:eastAsia="arial" w:hAnsi="arial" w:cs="arial"/>
          <w:b/>
          <w:i w:val="0"/>
          <w:strike w:val="0"/>
          <w:noProof w:val="0"/>
          <w:color w:val="000000"/>
          <w:position w:val="0"/>
          <w:sz w:val="20"/>
          <w:u w:val="none"/>
          <w:vertAlign w:val="baseline"/>
        </w:rPr>
        <w:t> [*25] </w:t>
      </w:r>
      <w:r>
        <w:rPr>
          <w:rFonts w:ascii="arial" w:eastAsia="arial" w:hAnsi="arial" w:cs="arial"/>
          <w:b w:val="0"/>
          <w:i w:val="0"/>
          <w:strike w:val="0"/>
          <w:noProof w:val="0"/>
          <w:color w:val="000000"/>
          <w:position w:val="0"/>
          <w:sz w:val="20"/>
          <w:u w:val="none"/>
          <w:vertAlign w:val="baseline"/>
        </w:rPr>
        <w:t xml:space="preserve">own affidavit. Paragraph 27 of Dr. Sowell's Statement of Undisputed Facts asserts "[a]t no time did [Ms. Range] suffer injuries as a proximate result of any act or alleged omission by Dr. Sowell," repeating a statement in his affidavit asserting that at no time did Ms. Range suffer any injuries as a result of his actions. This affidavit, together with other evidence showing that Ms. Range actually benefitted from the relining procedure, </w:t>
      </w:r>
      <w:r>
        <w:rPr>
          <w:rFonts w:ascii="arial" w:eastAsia="arial" w:hAnsi="arial" w:cs="arial"/>
          <w:vertAlign w:val="superscript"/>
        </w:rPr>
        <w:footnoteReference w:customMarkFollows="1" w:id="12"/>
        <w:t xml:space="preserve">11</w:t>
      </w:r>
      <w:r>
        <w:rPr>
          <w:rFonts w:ascii="arial" w:eastAsia="arial" w:hAnsi="arial" w:cs="arial"/>
          <w:b w:val="0"/>
          <w:i w:val="0"/>
          <w:strike w:val="0"/>
          <w:noProof w:val="0"/>
          <w:color w:val="000000"/>
          <w:position w:val="0"/>
          <w:sz w:val="20"/>
          <w:u w:val="none"/>
          <w:vertAlign w:val="baseline"/>
        </w:rPr>
        <w:t xml:space="preserve"> affirmatively negated the injury element of the plaintiff's claim and shifted the burden to the plaintiff to create at least a dispute of fact as to the whether Ms. Range suffered a compensable injury.</w:t>
      </w:r>
    </w:p>
    <w:p>
      <w:pPr>
        <w:keepNext w:val="0"/>
        <w:widowControl w:val="0"/>
        <w:spacing w:before="20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In response to the portion of Dr. Sowell's motion asserting the lack of any injury and to paragraph 27 of Dr. Sowell's Statement of Undisputed Facts, the plaintiff relied solely on the affidavit of Michael P. Tabor, D.D.S. The relevant portion of Dr. Tabor's affidavit states that "[a]s a result of Dr. Sowell's procedure on Ms. Range, </w:t>
      </w:r>
      <w:r>
        <w:rPr>
          <w:rFonts w:ascii="arial" w:eastAsia="arial" w:hAnsi="arial" w:cs="arial"/>
          <w:b/>
          <w:i w:val="0"/>
          <w:strike w:val="0"/>
          <w:noProof w:val="0"/>
          <w:color w:val="000000"/>
          <w:position w:val="0"/>
          <w:sz w:val="20"/>
          <w:u w:val="none"/>
          <w:vertAlign w:val="baseline"/>
        </w:rPr>
        <w:t> [*26] </w:t>
      </w:r>
      <w:r>
        <w:rPr>
          <w:rFonts w:ascii="arial" w:eastAsia="arial" w:hAnsi="arial" w:cs="arial"/>
          <w:b w:val="0"/>
          <w:i w:val="0"/>
          <w:strike w:val="0"/>
          <w:noProof w:val="0"/>
          <w:color w:val="000000"/>
          <w:position w:val="0"/>
          <w:sz w:val="20"/>
          <w:u w:val="none"/>
          <w:vertAlign w:val="baseline"/>
        </w:rPr>
        <w:t>she had a tooth extracted which had previously been used to locate the placement of Ms. Range's partial." This statement clearly refers only to the August 21, 2000 extraction procedure. It has no relevance whatsoever to the November 2001 relining procedure. Thus even assuming for the purpose of argument that the affidavit is sufficient to create a dispute of fact as to whether Ms. Range suffered an injury, the alleged injury would pertain only to claims that we have determined are barred by the statute of repose.</w:t>
      </w:r>
    </w:p>
    <w:p>
      <w:pPr>
        <w:keepNext w:val="0"/>
        <w:widowControl w:val="0"/>
        <w:spacing w:before="20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Neither the plaintiff's response to the motion for summary judgment nor the response to the statement of undisputed facts cite to any evidence, expert or otherwise, that Ms. Range suffered any compensable injury as a result of the November 2001 relining procedure. Accordingly, the trial court did not err in granting summary judgment to Dr. Sowell on the ground the plaintiff failed to produce evidence creating a genuine dispute of fact as to the whether Ms. Range suffered a compensable injury.</w:t>
      </w:r>
    </w:p>
    <w:p>
      <w:pPr>
        <w:keepNext w:val="0"/>
        <w:widowControl w:val="0"/>
        <w:spacing w:before="240" w:after="0" w:line="260" w:lineRule="atLeast"/>
        <w:ind w:left="0" w:right="0" w:firstLine="0"/>
        <w:jc w:val="left"/>
      </w:pPr>
      <w:r>
        <w:br/>
      </w:r>
      <w:r>
        <w:rPr>
          <w:rFonts w:ascii="arial" w:eastAsia="arial" w:hAnsi="arial" w:cs="arial"/>
          <w:b/>
          <w:i w:val="0"/>
          <w:strike w:val="0"/>
          <w:noProof w:val="0"/>
          <w:color w:val="000000"/>
          <w:position w:val="0"/>
          <w:sz w:val="20"/>
          <w:u w:val="none"/>
          <w:vertAlign w:val="baseline"/>
        </w:rPr>
        <w:t>VI. CONSENT</w:t>
      </w:r>
    </w:p>
    <w:p>
      <w:pPr>
        <w:keepNext w:val="0"/>
        <w:widowControl w:val="0"/>
        <w:spacing w:before="20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The trial court also granted summary judgment on a third ground, that there was no genuine dispute of material fact as whether Dr. Sowell had received effective consent to treat </w:t>
      </w:r>
      <w:r>
        <w:rPr>
          <w:rFonts w:ascii="arial" w:eastAsia="arial" w:hAnsi="arial" w:cs="arial"/>
          <w:b/>
          <w:i w:val="0"/>
          <w:strike w:val="0"/>
          <w:noProof w:val="0"/>
          <w:color w:val="000000"/>
          <w:position w:val="0"/>
          <w:sz w:val="20"/>
          <w:u w:val="none"/>
          <w:vertAlign w:val="baseline"/>
        </w:rPr>
        <w:t> [*27] </w:t>
      </w:r>
      <w:r>
        <w:rPr>
          <w:rFonts w:ascii="arial" w:eastAsia="arial" w:hAnsi="arial" w:cs="arial"/>
          <w:b w:val="0"/>
          <w:i w:val="0"/>
          <w:strike w:val="0"/>
          <w:noProof w:val="0"/>
          <w:color w:val="000000"/>
          <w:position w:val="0"/>
          <w:sz w:val="20"/>
          <w:u w:val="none"/>
          <w:vertAlign w:val="baseline"/>
        </w:rPr>
        <w:t>Ms. Range. In light of our determinations regarding the statute of repose and the lack of proof regarding any injury, however, we find it unnecessary to discuss the issues surrounding consent.</w:t>
      </w:r>
    </w:p>
    <w:p>
      <w:pPr>
        <w:keepNext w:val="0"/>
        <w:widowControl w:val="0"/>
        <w:spacing w:before="240" w:after="0" w:line="260" w:lineRule="atLeast"/>
        <w:ind w:left="0" w:right="0" w:firstLine="0"/>
        <w:jc w:val="left"/>
      </w:pPr>
      <w:r>
        <w:br/>
      </w:r>
      <w:r>
        <w:rPr>
          <w:rFonts w:ascii="arial" w:eastAsia="arial" w:hAnsi="arial" w:cs="arial"/>
          <w:b/>
          <w:i w:val="0"/>
          <w:strike w:val="0"/>
          <w:noProof w:val="0"/>
          <w:color w:val="000000"/>
          <w:position w:val="0"/>
          <w:sz w:val="20"/>
          <w:u w:val="none"/>
          <w:vertAlign w:val="baseline"/>
        </w:rPr>
        <w:t>VII. DISCRETIONARY COSTS</w:t>
      </w:r>
    </w:p>
    <w:p>
      <w:pPr>
        <w:keepNext w:val="0"/>
        <w:widowControl w:val="0"/>
        <w:spacing w:before="24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The final issue on appeal involves the trial court's award of discretionary costs in the amount of $ 1,838 to Dr. Sowell. </w:t>
      </w:r>
      <w:bookmarkStart w:id="162" w:name="Bookmark_I4XRHV0B0K1MNJ49W0000400"/>
      <w:bookmarkEnd w:id="162"/>
      <w:r>
        <w:rPr>
          <w:rFonts w:ascii="arial" w:eastAsia="arial" w:hAnsi="arial" w:cs="arial"/>
          <w:b w:val="0"/>
          <w:i w:val="0"/>
          <w:strike w:val="0"/>
          <w:noProof w:val="0"/>
          <w:color w:val="000000"/>
          <w:position w:val="0"/>
          <w:sz w:val="20"/>
          <w:u w:val="none"/>
          <w:vertAlign w:val="baseline"/>
        </w:rPr>
        <w:t xml:space="preserve">The award was assessed against Mr. Range both individually and in his capacity as executor of the estate of Katherine Range. </w:t>
      </w:r>
      <w:bookmarkStart w:id="163" w:name="Bookmark_LNHNREFclscc17"/>
      <w:bookmarkEnd w:id="163"/>
      <w:hyperlink r:id="rId145" w:history="1">
        <w:r>
          <w:rPr>
            <w:rFonts w:ascii="arial" w:eastAsia="arial" w:hAnsi="arial" w:cs="arial"/>
            <w:b/>
            <w:i/>
            <w:strike w:val="0"/>
            <w:noProof w:val="0"/>
            <w:color w:val="0077CC"/>
            <w:position w:val="0"/>
            <w:sz w:val="20"/>
            <w:u w:val="single"/>
            <w:shd w:val="clear" w:color="auto" w:fill="FFFFFF"/>
            <w:vertAlign w:val="baseline"/>
          </w:rPr>
          <w:t>HN17</w:t>
        </w:r>
      </w:hyperlink>
      <w:r>
        <w:rPr>
          <w:rFonts w:ascii="arial" w:eastAsia="arial" w:hAnsi="arial" w:cs="arial"/>
          <w:b w:val="0"/>
          <w:i w:val="0"/>
          <w:strike w:val="0"/>
          <w:noProof w:val="0"/>
          <w:color w:val="000000"/>
          <w:position w:val="0"/>
          <w:sz w:val="20"/>
          <w:u w:val="none"/>
          <w:vertAlign w:val="baseline"/>
        </w:rPr>
        <w:t>[</w:t>
      </w:r>
      <w:hyperlink w:anchor="Bookmark_clscc17" w:history="1">
        <w:r>
          <w:pict>
            <v:shape id="_x0000_i1062" type="#_x0000_t75" style="width:10.5pt;height:10.5pt">
              <v:imagedata r:id="rId47" o:title=""/>
            </v:shape>
          </w:pict>
        </w:r>
      </w:hyperlink>
      <w:r>
        <w:rPr>
          <w:rFonts w:ascii="arial" w:eastAsia="arial" w:hAnsi="arial" w:cs="arial"/>
          <w:b w:val="0"/>
          <w:i w:val="0"/>
          <w:strike w:val="0"/>
          <w:noProof w:val="0"/>
          <w:color w:val="000000"/>
          <w:position w:val="0"/>
          <w:sz w:val="20"/>
          <w:u w:val="none"/>
          <w:vertAlign w:val="baseline"/>
        </w:rPr>
        <w:t xml:space="preserve">] </w:t>
      </w:r>
      <w:hyperlink r:id="rId146" w:history="1">
        <w:r>
          <w:rPr>
            <w:rFonts w:ascii="arial" w:eastAsia="arial" w:hAnsi="arial" w:cs="arial"/>
            <w:b w:val="0"/>
            <w:i/>
            <w:strike w:val="0"/>
            <w:noProof w:val="0"/>
            <w:color w:val="0077CC"/>
            <w:position w:val="0"/>
            <w:sz w:val="20"/>
            <w:u w:val="single"/>
            <w:shd w:val="clear" w:color="auto" w:fill="FFFFFF"/>
            <w:vertAlign w:val="baseline"/>
          </w:rPr>
          <w:t>Tenn. R. Civ. P. 54.04(2)</w:t>
        </w:r>
      </w:hyperlink>
      <w:r>
        <w:rPr>
          <w:rFonts w:ascii="arial" w:eastAsia="arial" w:hAnsi="arial" w:cs="arial"/>
          <w:b w:val="0"/>
          <w:i w:val="0"/>
          <w:strike w:val="0"/>
          <w:noProof w:val="0"/>
          <w:color w:val="000000"/>
          <w:position w:val="0"/>
          <w:sz w:val="20"/>
          <w:u w:val="none"/>
          <w:vertAlign w:val="baseline"/>
        </w:rPr>
        <w:t xml:space="preserve"> authorizes the trial court to award to the prevailing party the reasonable and necessary costs incurred in the preparation and trial of the case. The decision to award or not to award discretionary costs lies within the discretion of the trial court. </w:t>
      </w:r>
      <w:bookmarkStart w:id="164" w:name="Bookmark_I4XRHV0B0K1MNJ3JH0000400"/>
      <w:bookmarkEnd w:id="164"/>
      <w:hyperlink r:id="rId147" w:history="1">
        <w:r>
          <w:rPr>
            <w:rFonts w:ascii="arial" w:eastAsia="arial" w:hAnsi="arial" w:cs="arial"/>
            <w:b w:val="0"/>
            <w:i/>
            <w:strike w:val="0"/>
            <w:noProof w:val="0"/>
            <w:color w:val="0077CC"/>
            <w:position w:val="0"/>
            <w:sz w:val="20"/>
            <w:u w:val="single"/>
            <w:shd w:val="clear" w:color="auto" w:fill="FFFFFF"/>
            <w:vertAlign w:val="baseline"/>
          </w:rPr>
          <w:t>Shofner v. Red Food Stores</w:t>
        </w:r>
      </w:hyperlink>
      <w:hyperlink r:id="rId148" w:history="1">
        <w:r>
          <w:rPr>
            <w:rFonts w:ascii="arial" w:eastAsia="arial" w:hAnsi="arial" w:cs="arial"/>
            <w:b w:val="0"/>
            <w:i/>
            <w:strike w:val="0"/>
            <w:noProof w:val="0"/>
            <w:color w:val="0077CC"/>
            <w:position w:val="0"/>
            <w:sz w:val="20"/>
            <w:u w:val="single"/>
            <w:shd w:val="clear" w:color="auto" w:fill="FFFFFF"/>
            <w:vertAlign w:val="baseline"/>
          </w:rPr>
          <w:t>, 970 S.W.2d 468, 470 (Tenn. Ct. App. 1997)</w:t>
        </w:r>
      </w:hyperlink>
      <w:r>
        <w:rPr>
          <w:rFonts w:ascii="arial" w:eastAsia="arial" w:hAnsi="arial" w:cs="arial"/>
          <w:b w:val="0"/>
          <w:i w:val="0"/>
          <w:strike w:val="0"/>
          <w:noProof w:val="0"/>
          <w:color w:val="000000"/>
          <w:position w:val="0"/>
          <w:sz w:val="20"/>
          <w:u w:val="none"/>
          <w:vertAlign w:val="baseline"/>
        </w:rPr>
        <w:t xml:space="preserve"> (quoting </w:t>
      </w:r>
      <w:bookmarkStart w:id="165" w:name="Bookmark_I4XRHV0B0K1MNJ49X0000400"/>
      <w:bookmarkEnd w:id="165"/>
      <w:hyperlink r:id="rId149" w:history="1">
        <w:r>
          <w:rPr>
            <w:rFonts w:ascii="arial" w:eastAsia="arial" w:hAnsi="arial" w:cs="arial"/>
            <w:b w:val="0"/>
            <w:i/>
            <w:strike w:val="0"/>
            <w:noProof w:val="0"/>
            <w:color w:val="0077CC"/>
            <w:position w:val="0"/>
            <w:sz w:val="20"/>
            <w:u w:val="single"/>
            <w:shd w:val="clear" w:color="auto" w:fill="FFFFFF"/>
            <w:vertAlign w:val="baseline"/>
          </w:rPr>
          <w:t>Lock v. National Union Fire Ins. Co</w:t>
        </w:r>
      </w:hyperlink>
      <w:hyperlink r:id="rId150" w:history="1">
        <w:r>
          <w:rPr>
            <w:rFonts w:ascii="arial" w:eastAsia="arial" w:hAnsi="arial" w:cs="arial"/>
            <w:b w:val="0"/>
            <w:i/>
            <w:strike w:val="0"/>
            <w:noProof w:val="0"/>
            <w:color w:val="0077CC"/>
            <w:position w:val="0"/>
            <w:sz w:val="20"/>
            <w:u w:val="single"/>
            <w:shd w:val="clear" w:color="auto" w:fill="FFFFFF"/>
            <w:vertAlign w:val="baseline"/>
          </w:rPr>
          <w:t>., 809 S.W.2d 483, 490 (Tenn. 1991)</w:t>
        </w:r>
      </w:hyperlink>
      <w:r>
        <w:rPr>
          <w:rFonts w:ascii="arial" w:eastAsia="arial" w:hAnsi="arial" w:cs="arial"/>
          <w:b w:val="0"/>
          <w:i w:val="0"/>
          <w:strike w:val="0"/>
          <w:noProof w:val="0"/>
          <w:color w:val="000000"/>
          <w:position w:val="0"/>
          <w:sz w:val="20"/>
          <w:u w:val="none"/>
          <w:vertAlign w:val="baseline"/>
        </w:rPr>
        <w:t>.</w:t>
      </w:r>
    </w:p>
    <w:p>
      <w:pPr>
        <w:keepNext w:val="0"/>
        <w:widowControl w:val="0"/>
        <w:spacing w:before="200" w:after="0" w:line="260" w:lineRule="atLeast"/>
        <w:ind w:left="0" w:right="0" w:firstLine="0"/>
        <w:jc w:val="both"/>
      </w:pPr>
      <w:bookmarkStart w:id="166" w:name="Bookmark_I14GCWSDV7G000GB21V000F7"/>
      <w:bookmarkEnd w:id="166"/>
      <w:bookmarkStart w:id="167" w:name="Bookmark_I4XRHV0B0K1MNJ4B10000400"/>
      <w:bookmarkEnd w:id="167"/>
      <w:r>
        <w:rPr>
          <w:rFonts w:ascii="arial" w:eastAsia="arial" w:hAnsi="arial" w:cs="arial"/>
          <w:b w:val="0"/>
          <w:i w:val="0"/>
          <w:strike w:val="0"/>
          <w:noProof w:val="0"/>
          <w:color w:val="000000"/>
          <w:position w:val="0"/>
          <w:sz w:val="20"/>
          <w:u w:val="none"/>
          <w:vertAlign w:val="baseline"/>
        </w:rPr>
        <w:t xml:space="preserve">Mr. Range challenges neither the court's exercise of its discretion in awarding the costs nor the amount of such costs, but relying on the above-cited </w:t>
      </w:r>
      <w:bookmarkStart w:id="168" w:name="Bookmark_I4XRHV0B0K1MNJ4B00000400"/>
      <w:bookmarkEnd w:id="168"/>
      <w:hyperlink r:id="rId151" w:history="1">
        <w:r>
          <w:rPr>
            <w:rFonts w:ascii="arial" w:eastAsia="arial" w:hAnsi="arial" w:cs="arial"/>
            <w:b w:val="0"/>
            <w:i/>
            <w:strike w:val="0"/>
            <w:noProof w:val="0"/>
            <w:color w:val="0077CC"/>
            <w:position w:val="0"/>
            <w:sz w:val="20"/>
            <w:u w:val="single"/>
            <w:shd w:val="clear" w:color="auto" w:fill="FFFFFF"/>
            <w:vertAlign w:val="baseline"/>
          </w:rPr>
          <w:t>Shofner</w:t>
        </w:r>
      </w:hyperlink>
      <w:r>
        <w:rPr>
          <w:rFonts w:ascii="arial" w:eastAsia="arial" w:hAnsi="arial" w:cs="arial"/>
          <w:b w:val="0"/>
          <w:i w:val="0"/>
          <w:strike w:val="0"/>
          <w:noProof w:val="0"/>
          <w:color w:val="000000"/>
          <w:position w:val="0"/>
          <w:sz w:val="20"/>
          <w:u w:val="none"/>
          <w:vertAlign w:val="baseline"/>
        </w:rPr>
        <w:t xml:space="preserve"> opinion, he argues that since he was at all times only acting in his capacity as the personal representative of Katherine Range, the trial court erred </w:t>
      </w:r>
      <w:r>
        <w:rPr>
          <w:rFonts w:ascii="arial" w:eastAsia="arial" w:hAnsi="arial" w:cs="arial"/>
          <w:b/>
          <w:i w:val="0"/>
          <w:strike w:val="0"/>
          <w:noProof w:val="0"/>
          <w:color w:val="000000"/>
          <w:position w:val="0"/>
          <w:sz w:val="20"/>
          <w:u w:val="none"/>
          <w:vertAlign w:val="baseline"/>
        </w:rPr>
        <w:t> [*28] </w:t>
      </w:r>
      <w:r>
        <w:rPr>
          <w:rFonts w:ascii="arial" w:eastAsia="arial" w:hAnsi="arial" w:cs="arial"/>
          <w:b w:val="0"/>
          <w:i w:val="0"/>
          <w:strike w:val="0"/>
          <w:noProof w:val="0"/>
          <w:color w:val="000000"/>
          <w:position w:val="0"/>
          <w:sz w:val="20"/>
          <w:u w:val="none"/>
          <w:vertAlign w:val="baseline"/>
        </w:rPr>
        <w:t>in assessing those costs against him personally. We agree. Since the court's order made Mr. Range responsible for the costs also in his capacity as the personal representative of the estate, we modify the trial court's order to eliminate reference to Mr. Range individually as liable for discretionary costs.</w:t>
      </w:r>
    </w:p>
    <w:p>
      <w:pPr>
        <w:keepNext w:val="0"/>
        <w:widowControl w:val="0"/>
        <w:spacing w:before="200" w:after="0" w:line="260" w:lineRule="atLeast"/>
        <w:ind w:left="0" w:right="0" w:firstLine="0"/>
        <w:jc w:val="both"/>
      </w:pPr>
      <w:r>
        <w:rPr>
          <w:rFonts w:ascii="arial" w:eastAsia="arial" w:hAnsi="arial" w:cs="arial"/>
          <w:b/>
          <w:i w:val="0"/>
          <w:strike w:val="0"/>
          <w:noProof w:val="0"/>
          <w:color w:val="000000"/>
          <w:position w:val="0"/>
          <w:sz w:val="20"/>
          <w:u w:val="none"/>
          <w:vertAlign w:val="baseline"/>
        </w:rPr>
        <w:t>VIII</w:t>
      </w:r>
      <w:r>
        <w:rPr>
          <w:rFonts w:ascii="arial" w:eastAsia="arial" w:hAnsi="arial" w:cs="arial"/>
          <w:b w:val="0"/>
          <w:i w:val="0"/>
          <w:strike w:val="0"/>
          <w:noProof w:val="0"/>
          <w:color w:val="000000"/>
          <w:position w:val="0"/>
          <w:sz w:val="20"/>
          <w:u w:val="none"/>
          <w:vertAlign w:val="baseline"/>
        </w:rPr>
        <w:t>.</w:t>
      </w:r>
    </w:p>
    <w:p>
      <w:pPr>
        <w:keepNext w:val="0"/>
        <w:widowControl w:val="0"/>
        <w:spacing w:before="20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The grant of summary judgment by the trial court is affirmed, but the award of discretionary costs is modified to reflect that it runs against Sam Range in his capacity as executor/administrator of his mother's estate, and not in his individual capacity. We remand this case to the Circuit Court of Maury County for any further proceedings necessary. Tax the costs on appeal to the appellant, Sam Range, Executor/Administrator of the estate of Katherine Range.</w:t>
      </w:r>
    </w:p>
    <w:p>
      <w:pPr>
        <w:keepNext w:val="0"/>
        <w:widowControl w:val="0"/>
        <w:spacing w:before="20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PATRICIA J. COTTRELL, JUDGE</w:t>
      </w:r>
    </w:p>
    <w:p/>
    <w:p>
      <w:pPr>
        <w:ind w:left="200"/>
      </w:pPr>
      <w:r>
        <w:br/>
      </w:r>
      <w:r>
        <w:pict>
          <v:line id="_x0000_s1063" style="position:absolute;z-index:251661312" from="0,10pt" to="512pt,10pt" strokecolor="black" strokeweight="1pt">
            <v:stroke linestyle="single"/>
          </v:line>
        </w:pict>
      </w:r>
      <w:r>
        <w:rPr>
          <w:rFonts w:ascii="arial" w:eastAsia="arial" w:hAnsi="arial" w:cs="arial"/>
          <w:b/>
          <w:color w:val="767676"/>
          <w:sz w:val="16"/>
        </w:rPr>
        <w:t>End of Document</w:t>
      </w:r>
    </w:p>
    <w:sectPr>
      <w:type w:val="continuous"/>
      <w:pgMar w:top="840" w:right="1000" w:bottom="840" w:left="1000" w:header="400" w:footer="400"/>
      <w:pgNumType w:fmt="decimal"/>
      <w:cols w:num="2" w:space="24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2600"/>
      <w:gridCol w:w="4880"/>
      <w:gridCol w:w="2600"/>
    </w:tblGrid>
    <w:tr>
      <w:tblPrEx>
        <w:tblW w:w="10080" w:type="dxa"/>
        <w:tblLayout w:type="fixed"/>
      </w:tblPrEx>
      <w:tc>
        <w:tcPr>
          <w:tcW w:w="2600" w:type="dxa"/>
          <w:tcMar>
            <w:top w:w="200" w:type="dxa"/>
          </w:tcMar>
          <w:vAlign w:val="center"/>
        </w:tcPr>
        <w:p/>
      </w:tc>
      <w:tc>
        <w:tcPr>
          <w:tcW w:w="4880" w:type="dxa"/>
          <w:tcMar>
            <w:top w:w="200" w:type="dxa"/>
          </w:tcMar>
          <w:vAlign w:val="center"/>
        </w:tcPr>
        <w:p/>
      </w:tc>
      <w:tc>
        <w:tcPr>
          <w:tcW w:w="2600" w:type="dxa"/>
          <w:tcMar>
            <w:top w:w="200" w:type="dxa"/>
          </w:tcMar>
          <w:vAlign w:val="center"/>
        </w:tcPr>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20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pPr>
        <w:spacing w:after="0" w:line="240" w:lineRule="auto"/>
      </w:pPr>
      <w:r>
        <w:separator/>
      </w:r>
    </w:p>
  </w:footnote>
  <w:footnote w:type="continuationSeparator" w:id="1">
    <w:p>
      <w:pPr>
        <w:spacing w:after="0" w:line="240" w:lineRule="auto"/>
      </w:pPr>
      <w:r>
        <w:continuationSeparator/>
      </w:r>
    </w:p>
  </w:footnote>
  <w:footnote w:id="2">
    <w:p>
      <w:pPr>
        <w:spacing w:before="120" w:line="240" w:lineRule="atLeast"/>
        <w:jc w:val="both"/>
      </w:pPr>
      <w:r>
        <w:rPr>
          <w:rFonts w:ascii="arial" w:eastAsia="arial" w:hAnsi="arial" w:cs="arial"/>
          <w:b w:val="0"/>
          <w:i w:val="0"/>
          <w:strike w:val="0"/>
          <w:noProof w:val="0"/>
          <w:color w:val="000000"/>
          <w:position w:val="0"/>
          <w:sz w:val="18"/>
          <w:u w:val="none"/>
          <w:vertAlign w:val="superscript"/>
        </w:rPr>
        <w:t>1 </w:t>
      </w:r>
      <w:bookmarkStart w:id="52" w:name="Bookmark_fnpara_1"/>
      <w:bookmarkEnd w:id="52"/>
      <w:r>
        <w:rPr>
          <w:rFonts w:ascii="arial" w:eastAsia="arial" w:hAnsi="arial" w:cs="arial"/>
          <w:b w:val="0"/>
          <w:i w:val="0"/>
          <w:strike w:val="0"/>
          <w:noProof w:val="0"/>
          <w:color w:val="000000"/>
          <w:position w:val="0"/>
          <w:sz w:val="18"/>
          <w:u w:val="none"/>
          <w:vertAlign w:val="baseline"/>
        </w:rPr>
        <w:t>Mr. Range testified at deposition that his work sometimes required him to be away from home for months at a time.</w:t>
      </w:r>
    </w:p>
  </w:footnote>
  <w:footnote w:id="3">
    <w:p>
      <w:pPr>
        <w:spacing w:before="120" w:line="240" w:lineRule="atLeast"/>
        <w:jc w:val="both"/>
      </w:pPr>
      <w:r>
        <w:rPr>
          <w:rFonts w:ascii="arial" w:eastAsia="arial" w:hAnsi="arial" w:cs="arial"/>
          <w:b w:val="0"/>
          <w:i w:val="0"/>
          <w:strike w:val="0"/>
          <w:noProof w:val="0"/>
          <w:color w:val="000000"/>
          <w:position w:val="0"/>
          <w:sz w:val="18"/>
          <w:u w:val="none"/>
          <w:vertAlign w:val="superscript"/>
        </w:rPr>
        <w:t>2 </w:t>
      </w:r>
      <w:bookmarkStart w:id="53" w:name="Bookmark_fnpara_2"/>
      <w:bookmarkEnd w:id="53"/>
      <w:r>
        <w:rPr>
          <w:rFonts w:ascii="arial" w:eastAsia="arial" w:hAnsi="arial" w:cs="arial"/>
          <w:b w:val="0"/>
          <w:i w:val="0"/>
          <w:strike w:val="0"/>
          <w:noProof w:val="0"/>
          <w:color w:val="000000"/>
          <w:position w:val="0"/>
          <w:sz w:val="18"/>
          <w:u w:val="none"/>
          <w:vertAlign w:val="baseline"/>
        </w:rPr>
        <w:t>The other authorizations included release of "any medical information as may be deemed necessary" to Dr. Perryman and the nursing home, consent to use Ms. Range's name and photograph for medical record documentation, consent to transport her to community outings or physician appointments, and consent to order medications from the pharmacy on her behalf.</w:t>
      </w:r>
    </w:p>
  </w:footnote>
  <w:footnote w:id="4">
    <w:p>
      <w:pPr>
        <w:spacing w:before="120" w:line="240" w:lineRule="atLeast"/>
        <w:jc w:val="both"/>
      </w:pPr>
      <w:r>
        <w:rPr>
          <w:rFonts w:ascii="arial" w:eastAsia="arial" w:hAnsi="arial" w:cs="arial"/>
          <w:b w:val="0"/>
          <w:i w:val="0"/>
          <w:strike w:val="0"/>
          <w:noProof w:val="0"/>
          <w:color w:val="000000"/>
          <w:position w:val="0"/>
          <w:sz w:val="18"/>
          <w:u w:val="none"/>
          <w:vertAlign w:val="superscript"/>
        </w:rPr>
        <w:t>3 </w:t>
      </w:r>
      <w:bookmarkStart w:id="54" w:name="Bookmark_fnpara_3"/>
      <w:bookmarkEnd w:id="54"/>
      <w:r>
        <w:rPr>
          <w:rFonts w:ascii="arial" w:eastAsia="arial" w:hAnsi="arial" w:cs="arial"/>
          <w:b w:val="0"/>
          <w:i w:val="0"/>
          <w:strike w:val="0"/>
          <w:noProof w:val="0"/>
          <w:color w:val="000000"/>
          <w:position w:val="0"/>
          <w:sz w:val="18"/>
          <w:u w:val="none"/>
          <w:vertAlign w:val="baseline"/>
        </w:rPr>
        <w:t>During deposition, Sam Range denied signing the document. He also denied that the signature on the nursing home admission agreement was his.</w:t>
      </w:r>
    </w:p>
  </w:footnote>
  <w:footnote w:id="5">
    <w:p>
      <w:pPr>
        <w:spacing w:before="120" w:line="240" w:lineRule="atLeast"/>
        <w:jc w:val="both"/>
      </w:pPr>
      <w:r>
        <w:rPr>
          <w:rFonts w:ascii="arial" w:eastAsia="arial" w:hAnsi="arial" w:cs="arial"/>
          <w:b w:val="0"/>
          <w:i w:val="0"/>
          <w:strike w:val="0"/>
          <w:noProof w:val="0"/>
          <w:color w:val="000000"/>
          <w:position w:val="0"/>
          <w:sz w:val="18"/>
          <w:u w:val="none"/>
          <w:vertAlign w:val="superscript"/>
        </w:rPr>
        <w:t>4 </w:t>
      </w:r>
      <w:bookmarkStart w:id="55" w:name="Bookmark_fnpara_4"/>
      <w:bookmarkEnd w:id="55"/>
      <w:r>
        <w:rPr>
          <w:rFonts w:ascii="arial" w:eastAsia="arial" w:hAnsi="arial" w:cs="arial"/>
          <w:b w:val="0"/>
          <w:i w:val="0"/>
          <w:strike w:val="0"/>
          <w:noProof w:val="0"/>
          <w:color w:val="000000"/>
          <w:position w:val="0"/>
          <w:sz w:val="18"/>
          <w:u w:val="none"/>
          <w:vertAlign w:val="baseline"/>
        </w:rPr>
        <w:t>The record includes a note from nurse Kay West stating that she contacted the family regarding transportation to the dentist's office and that arrangements for the dental visit would be by private pay. Sam Range denied by affidavit that the family had been contacted, and at deposition he characterized the note as "a gross forgery."</w:t>
      </w:r>
    </w:p>
  </w:footnote>
  <w:footnote w:id="6">
    <w:p>
      <w:pPr>
        <w:spacing w:before="120" w:line="240" w:lineRule="atLeast"/>
        <w:jc w:val="both"/>
      </w:pPr>
      <w:r>
        <w:rPr>
          <w:rFonts w:ascii="arial" w:eastAsia="arial" w:hAnsi="arial" w:cs="arial"/>
          <w:b w:val="0"/>
          <w:i w:val="0"/>
          <w:strike w:val="0"/>
          <w:noProof w:val="0"/>
          <w:color w:val="000000"/>
          <w:position w:val="0"/>
          <w:sz w:val="18"/>
          <w:u w:val="none"/>
          <w:vertAlign w:val="superscript"/>
        </w:rPr>
        <w:t>5 </w:t>
      </w:r>
      <w:bookmarkStart w:id="56" w:name="Bookmark_fnpara_5"/>
      <w:bookmarkEnd w:id="56"/>
      <w:r>
        <w:rPr>
          <w:rFonts w:ascii="arial" w:eastAsia="arial" w:hAnsi="arial" w:cs="arial"/>
          <w:b w:val="0"/>
          <w:i w:val="0"/>
          <w:strike w:val="0"/>
          <w:noProof w:val="0"/>
          <w:color w:val="000000"/>
          <w:position w:val="0"/>
          <w:sz w:val="18"/>
          <w:u w:val="none"/>
          <w:vertAlign w:val="baseline"/>
        </w:rPr>
        <w:t>At the time of her death, Katherine Range was no longer living at Heritage Manor, but at another nursing home to which Sam Range had moved her.</w:t>
      </w:r>
    </w:p>
  </w:footnote>
  <w:footnote w:id="7">
    <w:p>
      <w:pPr>
        <w:spacing w:before="120" w:line="240" w:lineRule="atLeast"/>
        <w:jc w:val="both"/>
      </w:pPr>
      <w:r>
        <w:rPr>
          <w:rFonts w:ascii="arial" w:eastAsia="arial" w:hAnsi="arial" w:cs="arial"/>
          <w:b w:val="0"/>
          <w:i w:val="0"/>
          <w:strike w:val="0"/>
          <w:noProof w:val="0"/>
          <w:color w:val="000000"/>
          <w:position w:val="0"/>
          <w:sz w:val="18"/>
          <w:u w:val="none"/>
          <w:vertAlign w:val="superscript"/>
        </w:rPr>
        <w:t>6 </w:t>
      </w:r>
      <w:bookmarkStart w:id="57" w:name="Bookmark_fnpara_6"/>
      <w:bookmarkEnd w:id="57"/>
      <w:r>
        <w:rPr>
          <w:rFonts w:ascii="arial" w:eastAsia="arial" w:hAnsi="arial" w:cs="arial"/>
          <w:b w:val="0"/>
          <w:i w:val="0"/>
          <w:strike w:val="0"/>
          <w:noProof w:val="0"/>
          <w:color w:val="000000"/>
          <w:position w:val="0"/>
          <w:sz w:val="18"/>
          <w:u w:val="none"/>
          <w:vertAlign w:val="baseline"/>
        </w:rPr>
        <w:t>Consequently, the actual plaintiff is the Estate of Katherine Range. However, we will continue to refer to the plaintiff party as Mr. Range, in his capacity as the estate's representative.</w:t>
      </w:r>
    </w:p>
  </w:footnote>
  <w:footnote w:id="8">
    <w:p>
      <w:pPr>
        <w:spacing w:before="120" w:line="240" w:lineRule="atLeast"/>
        <w:jc w:val="both"/>
      </w:pPr>
      <w:r>
        <w:rPr>
          <w:rFonts w:ascii="arial" w:eastAsia="arial" w:hAnsi="arial" w:cs="arial"/>
          <w:b w:val="0"/>
          <w:i w:val="0"/>
          <w:strike w:val="0"/>
          <w:noProof w:val="0"/>
          <w:color w:val="000000"/>
          <w:position w:val="0"/>
          <w:sz w:val="18"/>
          <w:u w:val="none"/>
          <w:vertAlign w:val="superscript"/>
        </w:rPr>
        <w:t>7 </w:t>
      </w:r>
      <w:bookmarkStart w:id="58" w:name="Bookmark_fnpara_7"/>
      <w:bookmarkEnd w:id="58"/>
      <w:r>
        <w:rPr>
          <w:rFonts w:ascii="arial" w:eastAsia="arial" w:hAnsi="arial" w:cs="arial"/>
          <w:b w:val="0"/>
          <w:i w:val="0"/>
          <w:strike w:val="0"/>
          <w:noProof w:val="0"/>
          <w:color w:val="000000"/>
          <w:position w:val="0"/>
          <w:sz w:val="18"/>
          <w:u w:val="none"/>
          <w:vertAlign w:val="baseline"/>
        </w:rPr>
        <w:t>For example, Mr. Range suggested in a somewhat ambiguous way that he had not signed the nursing home admission agreement. He also suggested that he did not sign the authorization for Dr. Perryman to furnish medical care to his mother, while not exactly denying that he had done so ("The document relied upon by the Defendant and attached as Exhibit D to the Motion for Summary Judgment and identified as HQM 464 does not contain the signature of Mr. Sam Range.").</w:t>
      </w:r>
    </w:p>
  </w:footnote>
  <w:footnote w:id="9">
    <w:p>
      <w:pPr>
        <w:keepNext w:val="0"/>
        <w:widowControl w:val="0"/>
        <w:spacing w:before="240" w:after="0" w:line="240" w:lineRule="atLeast"/>
        <w:ind w:left="0" w:right="0" w:firstLine="0"/>
        <w:jc w:val="both"/>
      </w:pPr>
      <w:r>
        <w:rPr>
          <w:rFonts w:ascii="arial" w:eastAsia="arial" w:hAnsi="arial" w:cs="arial"/>
          <w:b w:val="0"/>
          <w:i w:val="0"/>
          <w:strike w:val="0"/>
          <w:noProof w:val="0"/>
          <w:color w:val="000000"/>
          <w:position w:val="0"/>
          <w:sz w:val="18"/>
          <w:u w:val="none"/>
          <w:vertAlign w:val="superscript"/>
        </w:rPr>
        <w:t>8 </w:t>
      </w:r>
      <w:bookmarkStart w:id="93" w:name="Bookmark_fnpara_8"/>
      <w:bookmarkEnd w:id="93"/>
      <w:bookmarkStart w:id="94" w:name="Bookmark_I4XRHV0B0K1MNJ2520000400"/>
      <w:bookmarkEnd w:id="94"/>
      <w:r>
        <w:rPr>
          <w:rFonts w:ascii="arial" w:eastAsia="arial" w:hAnsi="arial" w:cs="arial"/>
          <w:b w:val="0"/>
          <w:i w:val="0"/>
          <w:strike w:val="0"/>
          <w:noProof w:val="0"/>
          <w:color w:val="000000"/>
          <w:position w:val="0"/>
          <w:sz w:val="18"/>
          <w:u w:val="none"/>
          <w:vertAlign w:val="baseline"/>
        </w:rPr>
        <w:t xml:space="preserve">For our purposes, there is no meaningful difference between the one-year statute of limitations for medical malpractice under </w:t>
      </w:r>
      <w:hyperlink r:id="rId1" w:history="1">
        <w:r>
          <w:rPr>
            <w:rFonts w:ascii="arial" w:eastAsia="arial" w:hAnsi="arial" w:cs="arial"/>
            <w:b w:val="0"/>
            <w:i/>
            <w:strike w:val="0"/>
            <w:noProof w:val="0"/>
            <w:color w:val="0077CC"/>
            <w:position w:val="0"/>
            <w:sz w:val="18"/>
            <w:u w:val="single"/>
            <w:shd w:val="clear" w:color="auto" w:fill="FFFFFF"/>
            <w:vertAlign w:val="baseline"/>
          </w:rPr>
          <w:t>Tenn. Code Ann. § 29-26-116</w:t>
        </w:r>
      </w:hyperlink>
      <w:r>
        <w:rPr>
          <w:rFonts w:ascii="arial" w:eastAsia="arial" w:hAnsi="arial" w:cs="arial"/>
          <w:b w:val="0"/>
          <w:i w:val="0"/>
          <w:strike w:val="0"/>
          <w:noProof w:val="0"/>
          <w:color w:val="000000"/>
          <w:position w:val="0"/>
          <w:sz w:val="18"/>
          <w:u w:val="none"/>
          <w:vertAlign w:val="baseline"/>
        </w:rPr>
        <w:t xml:space="preserve"> and the one-year statute of limitations for injuries to the person under </w:t>
      </w:r>
      <w:hyperlink r:id="rId2" w:history="1">
        <w:r>
          <w:rPr>
            <w:rFonts w:ascii="arial" w:eastAsia="arial" w:hAnsi="arial" w:cs="arial"/>
            <w:b w:val="0"/>
            <w:i/>
            <w:strike w:val="0"/>
            <w:noProof w:val="0"/>
            <w:color w:val="0077CC"/>
            <w:position w:val="0"/>
            <w:sz w:val="18"/>
            <w:u w:val="single"/>
            <w:shd w:val="clear" w:color="auto" w:fill="FFFFFF"/>
            <w:vertAlign w:val="baseline"/>
          </w:rPr>
          <w:t>Tenn. Code Ann. § 28-3-104(a)(1)</w:t>
        </w:r>
      </w:hyperlink>
      <w:r>
        <w:rPr>
          <w:rFonts w:ascii="arial" w:eastAsia="arial" w:hAnsi="arial" w:cs="arial"/>
          <w:b w:val="0"/>
          <w:i w:val="0"/>
          <w:strike w:val="0"/>
          <w:noProof w:val="0"/>
          <w:color w:val="000000"/>
          <w:position w:val="0"/>
          <w:sz w:val="18"/>
          <w:u w:val="none"/>
          <w:vertAlign w:val="baseline"/>
        </w:rPr>
        <w:t xml:space="preserve">, which applies to battery claims. </w:t>
      </w:r>
      <w:bookmarkStart w:id="95" w:name="Bookmark_I4XRHV0B0K1MNJ22D0000400"/>
      <w:bookmarkEnd w:id="95"/>
      <w:hyperlink r:id="rId3" w:history="1">
        <w:r>
          <w:rPr>
            <w:rFonts w:ascii="arial" w:eastAsia="arial" w:hAnsi="arial" w:cs="arial"/>
            <w:b w:val="0"/>
            <w:i/>
            <w:strike w:val="0"/>
            <w:noProof w:val="0"/>
            <w:color w:val="0077CC"/>
            <w:position w:val="0"/>
            <w:sz w:val="18"/>
            <w:u w:val="single"/>
            <w:shd w:val="clear" w:color="auto" w:fill="FFFFFF"/>
            <w:vertAlign w:val="baseline"/>
          </w:rPr>
          <w:t>Bailey v. Tasker</w:t>
        </w:r>
      </w:hyperlink>
      <w:hyperlink r:id="rId4" w:history="1">
        <w:r>
          <w:rPr>
            <w:rFonts w:ascii="arial" w:eastAsia="arial" w:hAnsi="arial" w:cs="arial"/>
            <w:b w:val="0"/>
            <w:i/>
            <w:strike w:val="0"/>
            <w:noProof w:val="0"/>
            <w:color w:val="0077CC"/>
            <w:position w:val="0"/>
            <w:sz w:val="18"/>
            <w:u w:val="single"/>
            <w:shd w:val="clear" w:color="auto" w:fill="FFFFFF"/>
            <w:vertAlign w:val="baseline"/>
          </w:rPr>
          <w:t>, 146 S.W.3d 580, 585 (Tenn. Ct. App. 2004)</w:t>
        </w:r>
      </w:hyperlink>
      <w:r>
        <w:rPr>
          <w:rFonts w:ascii="arial" w:eastAsia="arial" w:hAnsi="arial" w:cs="arial"/>
          <w:b w:val="0"/>
          <w:i w:val="0"/>
          <w:strike w:val="0"/>
          <w:noProof w:val="0"/>
          <w:color w:val="000000"/>
          <w:position w:val="0"/>
          <w:sz w:val="18"/>
          <w:u w:val="none"/>
          <w:vertAlign w:val="baseline"/>
        </w:rPr>
        <w:t xml:space="preserve">. In fact, </w:t>
      </w:r>
      <w:hyperlink r:id="rId5" w:history="1">
        <w:r>
          <w:rPr>
            <w:rFonts w:ascii="arial" w:eastAsia="arial" w:hAnsi="arial" w:cs="arial"/>
            <w:b w:val="0"/>
            <w:i/>
            <w:strike w:val="0"/>
            <w:noProof w:val="0"/>
            <w:color w:val="0077CC"/>
            <w:position w:val="0"/>
            <w:sz w:val="18"/>
            <w:u w:val="single"/>
            <w:shd w:val="clear" w:color="auto" w:fill="FFFFFF"/>
            <w:vertAlign w:val="baseline"/>
          </w:rPr>
          <w:t>Tenn. Code Ann. § 29-26-116</w:t>
        </w:r>
      </w:hyperlink>
      <w:r>
        <w:rPr>
          <w:rFonts w:ascii="arial" w:eastAsia="arial" w:hAnsi="arial" w:cs="arial"/>
          <w:b w:val="0"/>
          <w:i w:val="0"/>
          <w:strike w:val="0"/>
          <w:noProof w:val="0"/>
          <w:color w:val="000000"/>
          <w:position w:val="0"/>
          <w:sz w:val="18"/>
          <w:u w:val="none"/>
          <w:vertAlign w:val="baseline"/>
        </w:rPr>
        <w:t xml:space="preserve"> refers specifically to the </w:t>
      </w:r>
      <w:hyperlink r:id="rId6" w:history="1">
        <w:r>
          <w:rPr>
            <w:rFonts w:ascii="arial" w:eastAsia="arial" w:hAnsi="arial" w:cs="arial"/>
            <w:b w:val="0"/>
            <w:i/>
            <w:strike w:val="0"/>
            <w:noProof w:val="0"/>
            <w:color w:val="0077CC"/>
            <w:position w:val="0"/>
            <w:sz w:val="18"/>
            <w:u w:val="single"/>
            <w:shd w:val="clear" w:color="auto" w:fill="FFFFFF"/>
            <w:vertAlign w:val="baseline"/>
          </w:rPr>
          <w:t>Tenn. Code Ann. § 28-3-104</w:t>
        </w:r>
      </w:hyperlink>
      <w:r>
        <w:rPr>
          <w:rFonts w:ascii="arial" w:eastAsia="arial" w:hAnsi="arial" w:cs="arial"/>
          <w:b w:val="0"/>
          <w:i w:val="0"/>
          <w:strike w:val="0"/>
          <w:noProof w:val="0"/>
          <w:color w:val="000000"/>
          <w:position w:val="0"/>
          <w:sz w:val="18"/>
          <w:u w:val="none"/>
          <w:vertAlign w:val="baseline"/>
        </w:rPr>
        <w:t xml:space="preserve"> statute of limitations.</w:t>
      </w:r>
    </w:p>
  </w:footnote>
  <w:footnote w:id="10">
    <w:p>
      <w:pPr>
        <w:keepNext w:val="0"/>
        <w:widowControl w:val="0"/>
        <w:spacing w:before="200" w:after="0" w:line="240" w:lineRule="atLeast"/>
        <w:ind w:left="0" w:right="0" w:firstLine="0"/>
        <w:jc w:val="both"/>
      </w:pPr>
      <w:r>
        <w:rPr>
          <w:rFonts w:ascii="arial" w:eastAsia="arial" w:hAnsi="arial" w:cs="arial"/>
          <w:b w:val="0"/>
          <w:i w:val="0"/>
          <w:strike w:val="0"/>
          <w:noProof w:val="0"/>
          <w:color w:val="000000"/>
          <w:position w:val="0"/>
          <w:sz w:val="18"/>
          <w:u w:val="none"/>
          <w:vertAlign w:val="superscript"/>
        </w:rPr>
        <w:t>9 </w:t>
      </w:r>
      <w:bookmarkStart w:id="131" w:name="Bookmark_fnpara_9"/>
      <w:bookmarkEnd w:id="131"/>
      <w:bookmarkStart w:id="132" w:name="Bookmark_I14GCWSD53S000GB21V000F4"/>
      <w:bookmarkEnd w:id="132"/>
      <w:bookmarkStart w:id="133" w:name="Bookmark_I4XRHV0B0K1MNJ3C90000400"/>
      <w:bookmarkEnd w:id="133"/>
      <w:r>
        <w:rPr>
          <w:rFonts w:ascii="arial" w:eastAsia="arial" w:hAnsi="arial" w:cs="arial"/>
          <w:b w:val="0"/>
          <w:i w:val="0"/>
          <w:strike w:val="0"/>
          <w:noProof w:val="0"/>
          <w:color w:val="000000"/>
          <w:position w:val="0"/>
          <w:sz w:val="18"/>
          <w:u w:val="none"/>
          <w:vertAlign w:val="baseline"/>
        </w:rPr>
        <w:t xml:space="preserve">Dr. </w:t>
      </w:r>
      <w:bookmarkStart w:id="134" w:name="Bookmark_I4XRHV0B0K1MNJ3CC0000400"/>
      <w:bookmarkEnd w:id="134"/>
      <w:r>
        <w:rPr>
          <w:rFonts w:ascii="arial" w:eastAsia="arial" w:hAnsi="arial" w:cs="arial"/>
          <w:b w:val="0"/>
          <w:i w:val="0"/>
          <w:strike w:val="0"/>
          <w:noProof w:val="0"/>
          <w:color w:val="000000"/>
          <w:position w:val="0"/>
          <w:sz w:val="18"/>
          <w:u w:val="none"/>
          <w:vertAlign w:val="baseline"/>
        </w:rPr>
        <w:t xml:space="preserve">Sowell argues that even if Ms. Range was of unsound mind, her son brought suit on her behalf, and since he was competent at all times, </w:t>
      </w:r>
      <w:hyperlink r:id="rId7" w:history="1">
        <w:r>
          <w:rPr>
            <w:rFonts w:ascii="arial" w:eastAsia="arial" w:hAnsi="arial" w:cs="arial"/>
            <w:b w:val="0"/>
            <w:i/>
            <w:strike w:val="0"/>
            <w:noProof w:val="0"/>
            <w:color w:val="0077CC"/>
            <w:position w:val="0"/>
            <w:sz w:val="18"/>
            <w:u w:val="single"/>
            <w:shd w:val="clear" w:color="auto" w:fill="FFFFFF"/>
            <w:vertAlign w:val="baseline"/>
          </w:rPr>
          <w:t>Tenn. Code Ann. § 28-1-106</w:t>
        </w:r>
      </w:hyperlink>
      <w:r>
        <w:rPr>
          <w:rFonts w:ascii="arial" w:eastAsia="arial" w:hAnsi="arial" w:cs="arial"/>
          <w:b w:val="0"/>
          <w:i w:val="0"/>
          <w:strike w:val="0"/>
          <w:noProof w:val="0"/>
          <w:color w:val="000000"/>
          <w:position w:val="0"/>
          <w:sz w:val="18"/>
          <w:u w:val="none"/>
          <w:vertAlign w:val="baseline"/>
        </w:rPr>
        <w:t xml:space="preserve"> should not apply. However, our Supreme Court has addressed that very argument, and conclusively rejected it. In </w:t>
      </w:r>
      <w:bookmarkStart w:id="135" w:name="Bookmark_I4XRHV0B0K1MNJ2WW0000400"/>
      <w:bookmarkEnd w:id="135"/>
      <w:hyperlink r:id="rId8" w:history="1">
        <w:r>
          <w:rPr>
            <w:rFonts w:ascii="arial" w:eastAsia="arial" w:hAnsi="arial" w:cs="arial"/>
            <w:b w:val="0"/>
            <w:i/>
            <w:strike w:val="0"/>
            <w:noProof w:val="0"/>
            <w:color w:val="0077CC"/>
            <w:position w:val="0"/>
            <w:sz w:val="18"/>
            <w:u w:val="single"/>
            <w:shd w:val="clear" w:color="auto" w:fill="FFFFFF"/>
            <w:vertAlign w:val="baseline"/>
          </w:rPr>
          <w:t>Sullivan v. Chattanooga Medical Investors</w:t>
        </w:r>
      </w:hyperlink>
      <w:hyperlink r:id="rId9" w:history="1">
        <w:r>
          <w:rPr>
            <w:rFonts w:ascii="arial" w:eastAsia="arial" w:hAnsi="arial" w:cs="arial"/>
            <w:b w:val="0"/>
            <w:i/>
            <w:strike w:val="0"/>
            <w:noProof w:val="0"/>
            <w:color w:val="0077CC"/>
            <w:position w:val="0"/>
            <w:sz w:val="18"/>
            <w:u w:val="single"/>
            <w:shd w:val="clear" w:color="auto" w:fill="FFFFFF"/>
            <w:vertAlign w:val="baseline"/>
          </w:rPr>
          <w:t>, 221 S.W.3d 506 (Tenn. 2007)</w:t>
        </w:r>
      </w:hyperlink>
      <w:r>
        <w:rPr>
          <w:rFonts w:ascii="arial" w:eastAsia="arial" w:hAnsi="arial" w:cs="arial"/>
          <w:b w:val="0"/>
          <w:i w:val="0"/>
          <w:strike w:val="0"/>
          <w:noProof w:val="0"/>
          <w:color w:val="000000"/>
          <w:position w:val="0"/>
          <w:sz w:val="18"/>
          <w:u w:val="none"/>
          <w:vertAlign w:val="baseline"/>
        </w:rPr>
        <w:t xml:space="preserve">, the Court declared that </w:t>
      </w:r>
      <w:bookmarkStart w:id="136" w:name="Bookmark_LNHNREFclscc12"/>
      <w:bookmarkEnd w:id="136"/>
      <w:hyperlink r:id="rId10" w:history="1">
        <w:r>
          <w:rPr>
            <w:rFonts w:ascii="arial" w:eastAsia="arial" w:hAnsi="arial" w:cs="arial"/>
            <w:b/>
            <w:i/>
            <w:strike w:val="0"/>
            <w:noProof w:val="0"/>
            <w:color w:val="0077CC"/>
            <w:position w:val="0"/>
            <w:sz w:val="18"/>
            <w:u w:val="single"/>
            <w:shd w:val="clear" w:color="auto" w:fill="FFFFFF"/>
            <w:vertAlign w:val="baseline"/>
          </w:rPr>
          <w:t>HN12</w:t>
        </w:r>
      </w:hyperlink>
      <w:r>
        <w:rPr>
          <w:rFonts w:ascii="arial" w:eastAsia="arial" w:hAnsi="arial" w:cs="arial"/>
          <w:b w:val="0"/>
          <w:i w:val="0"/>
          <w:strike w:val="0"/>
          <w:noProof w:val="0"/>
          <w:color w:val="000000"/>
          <w:position w:val="0"/>
          <w:sz w:val="18"/>
          <w:u w:val="none"/>
          <w:vertAlign w:val="baseline"/>
        </w:rPr>
        <w:t>[</w:t>
      </w:r>
      <w:hyperlink w:anchor="Bookmark_clscc12" w:history="1">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0.5pt;height:10.5pt">
              <v:imagedata r:id="rId11" o:title=""/>
            </v:shape>
          </w:pict>
        </w:r>
      </w:hyperlink>
      <w:r>
        <w:rPr>
          <w:rFonts w:ascii="arial" w:eastAsia="arial" w:hAnsi="arial" w:cs="arial"/>
          <w:b w:val="0"/>
          <w:i w:val="0"/>
          <w:strike w:val="0"/>
          <w:noProof w:val="0"/>
          <w:color w:val="000000"/>
          <w:position w:val="0"/>
          <w:sz w:val="18"/>
          <w:u w:val="none"/>
          <w:vertAlign w:val="baseline"/>
        </w:rPr>
        <w:t xml:space="preserve">] "the person entitled to commence the action" under </w:t>
      </w:r>
      <w:hyperlink r:id="rId12" w:history="1">
        <w:r>
          <w:rPr>
            <w:rFonts w:ascii="arial" w:eastAsia="arial" w:hAnsi="arial" w:cs="arial"/>
            <w:b w:val="0"/>
            <w:i/>
            <w:strike w:val="0"/>
            <w:noProof w:val="0"/>
            <w:color w:val="0077CC"/>
            <w:position w:val="0"/>
            <w:sz w:val="18"/>
            <w:u w:val="single"/>
            <w:shd w:val="clear" w:color="auto" w:fill="FFFFFF"/>
            <w:vertAlign w:val="baseline"/>
          </w:rPr>
          <w:t>Tenn. Code Ann. § 28-1-106</w:t>
        </w:r>
      </w:hyperlink>
      <w:r>
        <w:rPr>
          <w:rFonts w:ascii="arial" w:eastAsia="arial" w:hAnsi="arial" w:cs="arial"/>
          <w:b w:val="0"/>
          <w:i w:val="0"/>
          <w:strike w:val="0"/>
          <w:noProof w:val="0"/>
          <w:color w:val="000000"/>
          <w:position w:val="0"/>
          <w:sz w:val="18"/>
          <w:u w:val="none"/>
          <w:vertAlign w:val="baseline"/>
        </w:rPr>
        <w:t xml:space="preserve">, means the injured party, or the party to whom the claim belongs rather than the individual authorized to act for the party. </w:t>
      </w:r>
      <w:bookmarkStart w:id="137" w:name="Bookmark_I4XRHV0B0K1MNJ3CC0000400_2"/>
      <w:bookmarkEnd w:id="137"/>
      <w:bookmarkStart w:id="138" w:name="Bookmark_I4XRHV0B0K1MNJ3CB0000400"/>
      <w:bookmarkEnd w:id="138"/>
      <w:hyperlink r:id="rId13" w:history="1">
        <w:r>
          <w:rPr>
            <w:rFonts w:ascii="arial" w:eastAsia="arial" w:hAnsi="arial" w:cs="arial"/>
            <w:b w:val="0"/>
            <w:i/>
            <w:strike w:val="0"/>
            <w:noProof w:val="0"/>
            <w:color w:val="0077CC"/>
            <w:position w:val="0"/>
            <w:sz w:val="18"/>
            <w:u w:val="single"/>
            <w:shd w:val="clear" w:color="auto" w:fill="FFFFFF"/>
            <w:vertAlign w:val="baseline"/>
          </w:rPr>
          <w:t>Sullivan v. Chattanooga Medical Investors</w:t>
        </w:r>
      </w:hyperlink>
      <w:hyperlink r:id="rId14" w:history="1">
        <w:r>
          <w:rPr>
            <w:rFonts w:ascii="arial" w:eastAsia="arial" w:hAnsi="arial" w:cs="arial"/>
            <w:b w:val="0"/>
            <w:i/>
            <w:strike w:val="0"/>
            <w:noProof w:val="0"/>
            <w:color w:val="0077CC"/>
            <w:position w:val="0"/>
            <w:sz w:val="18"/>
            <w:u w:val="single"/>
            <w:shd w:val="clear" w:color="auto" w:fill="FFFFFF"/>
            <w:vertAlign w:val="baseline"/>
          </w:rPr>
          <w:t>, 221 S.W.3d at 509</w:t>
        </w:r>
      </w:hyperlink>
      <w:r>
        <w:rPr>
          <w:rFonts w:ascii="arial" w:eastAsia="arial" w:hAnsi="arial" w:cs="arial"/>
          <w:b w:val="0"/>
          <w:i w:val="0"/>
          <w:strike w:val="0"/>
          <w:noProof w:val="0"/>
          <w:color w:val="000000"/>
          <w:position w:val="0"/>
          <w:sz w:val="18"/>
          <w:u w:val="none"/>
          <w:vertAlign w:val="baseline"/>
        </w:rPr>
        <w:t xml:space="preserve">. The Court specifically </w:t>
      </w:r>
      <w:r>
        <w:rPr>
          <w:rFonts w:ascii="arial" w:eastAsia="arial" w:hAnsi="arial" w:cs="arial"/>
          <w:b/>
          <w:i w:val="0"/>
          <w:strike w:val="0"/>
          <w:noProof w:val="0"/>
          <w:color w:val="000000"/>
          <w:position w:val="0"/>
          <w:sz w:val="18"/>
          <w:u w:val="none"/>
          <w:vertAlign w:val="baseline"/>
        </w:rPr>
        <w:t> [*20] </w:t>
      </w:r>
      <w:r>
        <w:rPr>
          <w:rFonts w:ascii="arial" w:eastAsia="arial" w:hAnsi="arial" w:cs="arial"/>
          <w:b w:val="0"/>
          <w:i w:val="0"/>
          <w:strike w:val="0"/>
          <w:noProof w:val="0"/>
          <w:color w:val="000000"/>
          <w:position w:val="0"/>
          <w:sz w:val="18"/>
          <w:u w:val="none"/>
          <w:vertAlign w:val="baseline"/>
        </w:rPr>
        <w:t xml:space="preserve">ruled that the execution of a durable power of attorney does not remove the disability of "the person entitled to commence the action" for the purposes of </w:t>
      </w:r>
      <w:hyperlink r:id="rId15" w:history="1">
        <w:r>
          <w:rPr>
            <w:rFonts w:ascii="arial" w:eastAsia="arial" w:hAnsi="arial" w:cs="arial"/>
            <w:b w:val="0"/>
            <w:i/>
            <w:strike w:val="0"/>
            <w:noProof w:val="0"/>
            <w:color w:val="0077CC"/>
            <w:position w:val="0"/>
            <w:sz w:val="18"/>
            <w:u w:val="single"/>
            <w:shd w:val="clear" w:color="auto" w:fill="FFFFFF"/>
            <w:vertAlign w:val="baseline"/>
          </w:rPr>
          <w:t>Tenn. Code Ann. § 28-1-106</w:t>
        </w:r>
      </w:hyperlink>
      <w:r>
        <w:rPr>
          <w:rFonts w:ascii="arial" w:eastAsia="arial" w:hAnsi="arial" w:cs="arial"/>
          <w:b w:val="0"/>
          <w:i w:val="0"/>
          <w:strike w:val="0"/>
          <w:noProof w:val="0"/>
          <w:color w:val="000000"/>
          <w:position w:val="0"/>
          <w:sz w:val="18"/>
          <w:u w:val="none"/>
          <w:vertAlign w:val="baseline"/>
        </w:rPr>
        <w:t xml:space="preserve">. </w:t>
      </w:r>
      <w:r>
        <w:rPr>
          <w:rFonts w:ascii="arial" w:eastAsia="arial" w:hAnsi="arial" w:cs="arial"/>
          <w:b w:val="0"/>
          <w:i/>
          <w:strike w:val="0"/>
          <w:noProof w:val="0"/>
          <w:color w:val="000000"/>
          <w:position w:val="0"/>
          <w:sz w:val="18"/>
          <w:u w:val="none"/>
          <w:vertAlign w:val="baseline"/>
        </w:rPr>
        <w:t>Id</w:t>
      </w:r>
      <w:r>
        <w:rPr>
          <w:rFonts w:ascii="arial" w:eastAsia="arial" w:hAnsi="arial" w:cs="arial"/>
          <w:b w:val="0"/>
          <w:i w:val="0"/>
          <w:strike w:val="0"/>
          <w:noProof w:val="0"/>
          <w:color w:val="000000"/>
          <w:position w:val="0"/>
          <w:sz w:val="18"/>
          <w:u w:val="none"/>
          <w:vertAlign w:val="baseline"/>
        </w:rPr>
        <w:t>.</w:t>
      </w:r>
    </w:p>
  </w:footnote>
  <w:footnote w:id="11">
    <w:p>
      <w:pPr>
        <w:keepNext w:val="0"/>
        <w:widowControl w:val="0"/>
        <w:spacing w:before="240" w:after="0" w:line="240" w:lineRule="atLeast"/>
        <w:ind w:left="0" w:right="0" w:firstLine="0"/>
        <w:jc w:val="both"/>
      </w:pPr>
      <w:r>
        <w:rPr>
          <w:rFonts w:ascii="arial" w:eastAsia="arial" w:hAnsi="arial" w:cs="arial"/>
          <w:b w:val="0"/>
          <w:i w:val="0"/>
          <w:strike w:val="0"/>
          <w:noProof w:val="0"/>
          <w:color w:val="000000"/>
          <w:position w:val="0"/>
          <w:sz w:val="18"/>
          <w:u w:val="none"/>
          <w:vertAlign w:val="superscript"/>
        </w:rPr>
        <w:t>10 </w:t>
      </w:r>
      <w:bookmarkStart w:id="143" w:name="Bookmark_fnpara_10"/>
      <w:bookmarkEnd w:id="143"/>
      <w:bookmarkStart w:id="144" w:name="Bookmark_I4XRHV0B0K1MNJ3HB0000400"/>
      <w:bookmarkEnd w:id="144"/>
      <w:r>
        <w:rPr>
          <w:rFonts w:ascii="arial" w:eastAsia="arial" w:hAnsi="arial" w:cs="arial"/>
          <w:b w:val="0"/>
          <w:i w:val="0"/>
          <w:strike w:val="0"/>
          <w:noProof w:val="0"/>
          <w:color w:val="000000"/>
          <w:position w:val="0"/>
          <w:sz w:val="18"/>
          <w:u w:val="none"/>
          <w:vertAlign w:val="baseline"/>
        </w:rPr>
        <w:t xml:space="preserve">The mental incompetency of Ms. Range does not affect the operation of the statute of repose. </w:t>
      </w:r>
      <w:bookmarkStart w:id="145" w:name="Bookmark_I4XRHV0B0K1MNJ3J10000400"/>
      <w:bookmarkEnd w:id="145"/>
      <w:r>
        <w:rPr>
          <w:rFonts w:ascii="arial" w:eastAsia="arial" w:hAnsi="arial" w:cs="arial"/>
          <w:b w:val="0"/>
          <w:i w:val="0"/>
          <w:strike w:val="0"/>
          <w:noProof w:val="0"/>
          <w:color w:val="000000"/>
          <w:position w:val="0"/>
          <w:sz w:val="18"/>
          <w:u w:val="none"/>
          <w:vertAlign w:val="baseline"/>
        </w:rPr>
        <w:t xml:space="preserve">In </w:t>
      </w:r>
      <w:bookmarkStart w:id="146" w:name="Bookmark_I4XRHV0B0K1MNJ3H90000400"/>
      <w:bookmarkEnd w:id="146"/>
      <w:hyperlink r:id="rId16" w:history="1">
        <w:r>
          <w:rPr>
            <w:rFonts w:ascii="arial" w:eastAsia="arial" w:hAnsi="arial" w:cs="arial"/>
            <w:b w:val="0"/>
            <w:i/>
            <w:strike w:val="0"/>
            <w:noProof w:val="0"/>
            <w:color w:val="0077CC"/>
            <w:position w:val="0"/>
            <w:sz w:val="18"/>
            <w:u w:val="single"/>
            <w:shd w:val="clear" w:color="auto" w:fill="FFFFFF"/>
            <w:vertAlign w:val="baseline"/>
          </w:rPr>
          <w:t>Mills v. Wong</w:t>
        </w:r>
      </w:hyperlink>
      <w:hyperlink r:id="rId17" w:history="1">
        <w:r>
          <w:rPr>
            <w:rFonts w:ascii="arial" w:eastAsia="arial" w:hAnsi="arial" w:cs="arial"/>
            <w:b w:val="0"/>
            <w:i/>
            <w:strike w:val="0"/>
            <w:noProof w:val="0"/>
            <w:color w:val="0077CC"/>
            <w:position w:val="0"/>
            <w:sz w:val="18"/>
            <w:u w:val="single"/>
            <w:shd w:val="clear" w:color="auto" w:fill="FFFFFF"/>
            <w:vertAlign w:val="baseline"/>
          </w:rPr>
          <w:t>, 155 S.W.3d 916 (Tenn. 2005)</w:t>
        </w:r>
      </w:hyperlink>
      <w:r>
        <w:rPr>
          <w:rFonts w:ascii="arial" w:eastAsia="arial" w:hAnsi="arial" w:cs="arial"/>
          <w:b w:val="0"/>
          <w:i w:val="0"/>
          <w:strike w:val="0"/>
          <w:noProof w:val="0"/>
          <w:color w:val="000000"/>
          <w:position w:val="0"/>
          <w:sz w:val="18"/>
          <w:u w:val="none"/>
          <w:vertAlign w:val="baseline"/>
        </w:rPr>
        <w:t xml:space="preserve">, our Supreme Court was faced with the question whether </w:t>
      </w:r>
      <w:hyperlink r:id="rId18" w:history="1">
        <w:r>
          <w:rPr>
            <w:rFonts w:ascii="arial" w:eastAsia="arial" w:hAnsi="arial" w:cs="arial"/>
            <w:b w:val="0"/>
            <w:i/>
            <w:strike w:val="0"/>
            <w:noProof w:val="0"/>
            <w:color w:val="0077CC"/>
            <w:position w:val="0"/>
            <w:sz w:val="18"/>
            <w:u w:val="single"/>
            <w:shd w:val="clear" w:color="auto" w:fill="FFFFFF"/>
            <w:vertAlign w:val="baseline"/>
          </w:rPr>
          <w:t>Tenn. Code Ann. § 28-1-106</w:t>
        </w:r>
      </w:hyperlink>
      <w:r>
        <w:rPr>
          <w:rFonts w:ascii="arial" w:eastAsia="arial" w:hAnsi="arial" w:cs="arial"/>
          <w:b w:val="0"/>
          <w:i w:val="0"/>
          <w:strike w:val="0"/>
          <w:noProof w:val="0"/>
          <w:color w:val="000000"/>
          <w:position w:val="0"/>
          <w:sz w:val="18"/>
          <w:u w:val="none"/>
          <w:vertAlign w:val="baseline"/>
        </w:rPr>
        <w:t xml:space="preserve"> can operate to toll the statute of repose in medical malpractice cases involving mental incompetency. The court held that the plain terms of the statute precluded tolling in such cases. </w:t>
      </w:r>
      <w:bookmarkStart w:id="147" w:name="Bookmark_I4XRHV0B0K1MNJ3J10000400_2"/>
      <w:bookmarkEnd w:id="147"/>
      <w:r>
        <w:rPr>
          <w:rFonts w:ascii="arial" w:eastAsia="arial" w:hAnsi="arial" w:cs="arial"/>
          <w:b w:val="0"/>
          <w:i/>
          <w:strike w:val="0"/>
          <w:noProof w:val="0"/>
          <w:color w:val="000000"/>
          <w:position w:val="0"/>
          <w:sz w:val="18"/>
          <w:u w:val="none"/>
          <w:vertAlign w:val="baseline"/>
        </w:rPr>
        <w:t>See also</w:t>
      </w:r>
      <w:r>
        <w:rPr>
          <w:rFonts w:ascii="arial" w:eastAsia="arial" w:hAnsi="arial" w:cs="arial"/>
          <w:b w:val="0"/>
          <w:i w:val="0"/>
          <w:strike w:val="0"/>
          <w:noProof w:val="0"/>
          <w:color w:val="000000"/>
          <w:position w:val="0"/>
          <w:sz w:val="18"/>
          <w:u w:val="none"/>
          <w:vertAlign w:val="baseline"/>
        </w:rPr>
        <w:t xml:space="preserve"> </w:t>
      </w:r>
      <w:bookmarkStart w:id="148" w:name="Bookmark_I4XRHV0B0K1MNJ3HC0000400"/>
      <w:bookmarkEnd w:id="148"/>
      <w:hyperlink r:id="rId19" w:history="1">
        <w:r>
          <w:rPr>
            <w:rFonts w:ascii="arial" w:eastAsia="arial" w:hAnsi="arial" w:cs="arial"/>
            <w:b w:val="0"/>
            <w:i/>
            <w:strike w:val="0"/>
            <w:noProof w:val="0"/>
            <w:color w:val="0077CC"/>
            <w:position w:val="0"/>
            <w:sz w:val="18"/>
            <w:u w:val="single"/>
            <w:shd w:val="clear" w:color="auto" w:fill="FFFFFF"/>
            <w:vertAlign w:val="baseline"/>
          </w:rPr>
          <w:t>Penley v. Honda Motor Co</w:t>
        </w:r>
      </w:hyperlink>
      <w:hyperlink r:id="rId20" w:history="1">
        <w:r>
          <w:rPr>
            <w:rFonts w:ascii="arial" w:eastAsia="arial" w:hAnsi="arial" w:cs="arial"/>
            <w:b w:val="0"/>
            <w:i/>
            <w:strike w:val="0"/>
            <w:noProof w:val="0"/>
            <w:color w:val="0077CC"/>
            <w:position w:val="0"/>
            <w:sz w:val="18"/>
            <w:u w:val="single"/>
            <w:shd w:val="clear" w:color="auto" w:fill="FFFFFF"/>
            <w:vertAlign w:val="baseline"/>
          </w:rPr>
          <w:t>., 31 S.W.3d 181, 185 (Tenn. 2000)</w:t>
        </w:r>
      </w:hyperlink>
      <w:r>
        <w:rPr>
          <w:rFonts w:ascii="arial" w:eastAsia="arial" w:hAnsi="arial" w:cs="arial"/>
          <w:b w:val="0"/>
          <w:i w:val="0"/>
          <w:strike w:val="0"/>
          <w:noProof w:val="0"/>
          <w:color w:val="000000"/>
          <w:position w:val="0"/>
          <w:sz w:val="18"/>
          <w:u w:val="none"/>
          <w:vertAlign w:val="baseline"/>
        </w:rPr>
        <w:t xml:space="preserve"> (holding that the ten-year products liability statute of repose is not tolled by the plaintiff's mental incompetency).</w:t>
      </w:r>
    </w:p>
  </w:footnote>
  <w:footnote w:id="12">
    <w:p>
      <w:pPr>
        <w:spacing w:before="120" w:line="240" w:lineRule="atLeast"/>
        <w:jc w:val="both"/>
      </w:pPr>
      <w:r>
        <w:rPr>
          <w:rFonts w:ascii="arial" w:eastAsia="arial" w:hAnsi="arial" w:cs="arial"/>
          <w:b w:val="0"/>
          <w:i w:val="0"/>
          <w:strike w:val="0"/>
          <w:noProof w:val="0"/>
          <w:color w:val="000000"/>
          <w:position w:val="0"/>
          <w:sz w:val="18"/>
          <w:u w:val="none"/>
          <w:vertAlign w:val="superscript"/>
        </w:rPr>
        <w:t>11 </w:t>
      </w:r>
      <w:bookmarkStart w:id="161" w:name="Bookmark_fnpara_11"/>
      <w:bookmarkEnd w:id="161"/>
      <w:r>
        <w:rPr>
          <w:rFonts w:ascii="arial" w:eastAsia="arial" w:hAnsi="arial" w:cs="arial"/>
          <w:b w:val="0"/>
          <w:i w:val="0"/>
          <w:strike w:val="0"/>
          <w:noProof w:val="0"/>
          <w:color w:val="000000"/>
          <w:position w:val="0"/>
          <w:sz w:val="18"/>
          <w:u w:val="none"/>
          <w:vertAlign w:val="baseline"/>
        </w:rPr>
        <w:t>Dr. Sowell testified that even a person who has no natural teeth remaining and has been placed on a soft diet can enjoy improvements in speech and appearance from the use of a set of dentures that fit and are comfortable.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10080"/>
    </w:tblGrid>
    <w:tr>
      <w:tblPrEx>
        <w:tblW w:w="10080" w:type="dxa"/>
        <w:tblLayout w:type="fixed"/>
      </w:tblPrEx>
      <w:tc>
        <w:tcPr>
          <w:tcW w:w="10080" w:type="dxa"/>
          <w:vAlign w:val="center"/>
        </w:tcPr>
        <w:p>
          <w:pPr>
            <w:jc w:val="right"/>
          </w:pPr>
          <w:r>
            <w:rPr>
              <w:rFonts w:ascii="arial" w:eastAsia="arial" w:hAnsi="arial" w:cs="arial"/>
              <w:sz w:val="20"/>
            </w:rPr>
            <w:t xml:space="preserve">Page </w:t>
          </w:r>
          <w:r>
            <w:rPr>
              <w:rFonts w:ascii="arial" w:eastAsia="arial" w:hAnsi="arial" w:cs="arial"/>
              <w:sz w:val="20"/>
            </w:rPr>
            <w:fldChar w:fldCharType="begin"/>
          </w:r>
          <w:r>
            <w:rPr>
              <w:rFonts w:ascii="arial" w:eastAsia="arial" w:hAnsi="arial" w:cs="arial"/>
              <w:sz w:val="20"/>
            </w:rPr>
            <w:instrText xml:space="preserve"> PAGE </w:instrText>
          </w:r>
          <w:r>
            <w:rPr>
              <w:rFonts w:ascii="arial" w:eastAsia="arial" w:hAnsi="arial" w:cs="arial"/>
              <w:sz w:val="20"/>
            </w:rPr>
            <w:fldChar w:fldCharType="separate"/>
          </w:r>
          <w:r>
            <w:rPr>
              <w:rFonts w:ascii="arial" w:eastAsia="arial" w:hAnsi="arial" w:cs="arial"/>
              <w:sz w:val="20"/>
            </w:rPr>
            <w:fldChar w:fldCharType="end"/>
          </w:r>
          <w:r>
            <w:rPr>
              <w:rFonts w:ascii="arial" w:eastAsia="arial" w:hAnsi="arial" w:cs="arial"/>
              <w:sz w:val="20"/>
            </w:rPr>
            <w:t xml:space="preserve"> of </w:t>
          </w:r>
          <w:r>
            <w:rPr>
              <w:rFonts w:ascii="arial" w:eastAsia="arial" w:hAnsi="arial" w:cs="arial"/>
              <w:sz w:val="20"/>
            </w:rPr>
            <w:fldChar w:fldCharType="begin"/>
          </w:r>
          <w:r>
            <w:rPr>
              <w:rFonts w:ascii="arial" w:eastAsia="arial" w:hAnsi="arial" w:cs="arial"/>
              <w:sz w:val="20"/>
            </w:rPr>
            <w:instrText xml:space="preserve"> NUMPAGES </w:instrText>
          </w:r>
          <w:r>
            <w:rPr>
              <w:rFonts w:ascii="arial" w:eastAsia="arial" w:hAnsi="arial" w:cs="arial"/>
              <w:sz w:val="20"/>
            </w:rPr>
            <w:fldChar w:fldCharType="separate"/>
          </w:r>
          <w:r>
            <w:rPr>
              <w:rFonts w:ascii="arial" w:eastAsia="arial" w:hAnsi="arial" w:cs="arial"/>
              <w:sz w:val="20"/>
            </w:rPr>
            <w:fldChar w:fldCharType="end"/>
          </w:r>
        </w:p>
      </w:tc>
    </w:tr>
    <w:tr>
      <w:tblPrEx>
        <w:tblW w:w="10080" w:type="dxa"/>
        <w:tblLayout w:type="fixed"/>
      </w:tblPrEx>
      <w:tc>
        <w:tcPr>
          <w:tcW w:w="10080" w:type="dxa"/>
        </w:tcPr>
        <w:p>
          <w:pPr>
            <w:spacing w:before="60" w:after="200"/>
            <w:jc w:val="center"/>
          </w:pPr>
          <w:r>
            <w:rPr>
              <w:rFonts w:ascii="arial" w:eastAsia="arial" w:hAnsi="arial" w:cs="arial"/>
              <w:sz w:val="20"/>
            </w:rPr>
            <w:t>Range v. Sowell, 2009 Tenn. App. LEXIS 723</w:t>
          </w:r>
        </w:p>
      </w:tc>
    </w:tr>
  </w:tbl>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footnotePr>
    <w:footnote w:id="0"/>
    <w:footnote w:id="1"/>
  </w:foot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advance.lexis.com/api/document?collection=statutes-legislation&amp;id=urn:contentItem:4X8J-5HC0-R03J-M03P-00000-00&amp;context=1000516" TargetMode="External"/><Relationship Id="rId138" Type="http://schemas.openxmlformats.org/officeDocument/2006/relationships/hyperlink" Target="https://advance.lexis.com/api/document?collection=cases&amp;id=urn:contentItem:3S3K-3M40-003F-942M-00000-00&amp;context=1000516" TargetMode="External"/><Relationship Id="rId21" Type="http://schemas.openxmlformats.org/officeDocument/2006/relationships/hyperlink" Target="https://advance.lexis.com/api/document?collection=cases&amp;id=urn:contentItem:4XK4-VF40-TXFW-T2D7-00000-00&amp;context=1000516&amp;link=LNHNREFclscc5" TargetMode="External"/><Relationship Id="rId42" Type="http://schemas.openxmlformats.org/officeDocument/2006/relationships/hyperlink" Target="https://advance.lexis.com/api/document?collection=statutes-legislation&amp;id=urn:contentItem:4X8J-71F0-R03N-S3KP-00000-00&amp;context=1000516" TargetMode="External"/><Relationship Id="rId63" Type="http://schemas.openxmlformats.org/officeDocument/2006/relationships/hyperlink" Target="https://advance.lexis.com/api/document?collection=cases&amp;id=urn:contentItem:3RRK-2WS0-0039-4551-00000-00&amp;context=1000516" TargetMode="External"/><Relationship Id="rId84" Type="http://schemas.openxmlformats.org/officeDocument/2006/relationships/hyperlink" Target="https://advance.lexis.com/api/document?collection=cases&amp;id=urn:contentItem:4TV5-HDC0-TXFW-W2TT-00000-00&amp;context=1000516" TargetMode="External"/><Relationship Id="rId107" Type="http://schemas.openxmlformats.org/officeDocument/2006/relationships/hyperlink" Target="https://advance.lexis.com/api/document?collection=cases&amp;id=urn:contentItem:4XK4-VF40-TXFW-T2D7-00000-00&amp;context=1000516&amp;link=clscc7" TargetMode="External"/><Relationship Id="rId11" Type="http://schemas.openxmlformats.org/officeDocument/2006/relationships/hyperlink" Target="https://advance.lexis.com/api/document?collection=cases&amp;id=urn:contentItem:7XDP-1100-YB0V-3004-00000-00&amp;context=1000516" TargetMode="External"/><Relationship Id="rId128" Type="http://schemas.openxmlformats.org/officeDocument/2006/relationships/hyperlink" Target="https://advance.lexis.com/api/document?collection=cases&amp;id=urn:contentItem:3S3K-3M40-003F-942M-00000-00&amp;context=1000516" TargetMode="External"/><Relationship Id="rId149" Type="http://schemas.openxmlformats.org/officeDocument/2006/relationships/hyperlink" Target="https://advance.lexis.com/api/document?collection=cases&amp;id=urn:contentItem:3S3K-3MT0-003F-94JV-00000-00&amp;context=1000516" TargetMode="External"/><Relationship Id="rId32" Type="http://schemas.openxmlformats.org/officeDocument/2006/relationships/hyperlink" Target="https://advance.lexis.com/api/document?collection=cases&amp;id=urn:contentItem:4XK4-VF40-TXFW-T2D7-00000-00&amp;context=1000516&amp;link=LNHNREFclscc12" TargetMode="External"/><Relationship Id="rId53" Type="http://schemas.openxmlformats.org/officeDocument/2006/relationships/hyperlink" Target="https://advance.lexis.com/api/document?collection=cases&amp;id=urn:contentItem:4D69-72T0-0039-43N5-00000-00&amp;context=1000516" TargetMode="External"/><Relationship Id="rId74" Type="http://schemas.openxmlformats.org/officeDocument/2006/relationships/hyperlink" Target="https://advance.lexis.com/api/document?collection=cases&amp;id=urn:contentItem:4XK4-VF40-TXFW-T2D7-00000-00&amp;context=1000516&amp;link=clscc3" TargetMode="External"/><Relationship Id="rId5" Type="http://schemas.openxmlformats.org/officeDocument/2006/relationships/header" Target="header1.xml"/><Relationship Id="rId95" Type="http://schemas.openxmlformats.org/officeDocument/2006/relationships/hyperlink" Target="https://advance.lexis.com/api/document?collection=cases&amp;id=urn:contentItem:4736-T7C0-0039-43RH-00000-00&amp;context=1000516" TargetMode="External"/><Relationship Id="rId113" Type="http://schemas.openxmlformats.org/officeDocument/2006/relationships/hyperlink" Target="https://advance.lexis.com/api/document?collection=cases&amp;id=urn:contentItem:4XK4-VF40-TXFW-T2D7-00000-00&amp;context=1000516&amp;link=clscc8" TargetMode="External"/><Relationship Id="rId118" Type="http://schemas.openxmlformats.org/officeDocument/2006/relationships/hyperlink" Target="https://advance.lexis.com/api/document?collection=cases&amp;id=urn:contentItem:4XK4-VF40-TXFW-T2D7-00000-00&amp;context=1000516&amp;link=clscc10" TargetMode="External"/><Relationship Id="rId134" Type="http://schemas.openxmlformats.org/officeDocument/2006/relationships/hyperlink" Target="https://advance.lexis.com/api/document?collection=cases&amp;id=urn:contentItem:41NS-TMY0-0039-41TK-00000-00&amp;context=1000516" TargetMode="External"/><Relationship Id="rId139" Type="http://schemas.openxmlformats.org/officeDocument/2006/relationships/hyperlink" Target="https://advance.lexis.com/api/document?collection=cases&amp;id=urn:contentItem:4XK4-VF40-TXFW-T2D7-00000-00&amp;context=1000516&amp;link=clscc15" TargetMode="External"/><Relationship Id="rId22" Type="http://schemas.openxmlformats.org/officeDocument/2006/relationships/hyperlink" Target="https://advance.lexis.com/api/document?collection=cases&amp;id=urn:contentItem:4XK4-VF40-TXFW-T2D7-00000-00&amp;context=1000516&amp;link=LNHNREFclscc6" TargetMode="External"/><Relationship Id="rId27" Type="http://schemas.openxmlformats.org/officeDocument/2006/relationships/hyperlink" Target="https://advance.lexis.com/api/document?collection=cases&amp;id=urn:contentItem:4XK4-VF40-TXFW-T2D7-00000-00&amp;context=1000516&amp;link=LNHNREFclscc9" TargetMode="External"/><Relationship Id="rId43" Type="http://schemas.openxmlformats.org/officeDocument/2006/relationships/hyperlink" Target="https://advance.lexis.com/api/document?collection=cases&amp;id=urn:contentItem:4XK4-VF40-TXFW-T2D7-00000-00&amp;context=1000516&amp;link=LNHNREFclscc17" TargetMode="External"/><Relationship Id="rId48" Type="http://schemas.openxmlformats.org/officeDocument/2006/relationships/hyperlink" Target="https://advance.lexis.com/api/document?collection=cases&amp;id=urn:contentItem:4V24-RKC0-TXFW-W2B2-00000-00&amp;context=1000516" TargetMode="External"/><Relationship Id="rId64" Type="http://schemas.openxmlformats.org/officeDocument/2006/relationships/hyperlink" Target="https://advance.lexis.com/api/document?collection=cases&amp;id=urn:contentItem:4TV5-HDC0-TXFW-W2TT-00000-00&amp;context=1000516" TargetMode="External"/><Relationship Id="rId69" Type="http://schemas.openxmlformats.org/officeDocument/2006/relationships/hyperlink" Target="https://advance.lexis.com/api/document?collection=cases&amp;id=urn:contentItem:4TV5-HDC0-TXFW-W2TT-00000-00&amp;context=1000516" TargetMode="External"/><Relationship Id="rId150" Type="http://schemas.openxmlformats.org/officeDocument/2006/relationships/hyperlink" Target="https://advance.lexis.com/api/document?collection=cases&amp;id=urn:contentItem:3S3K-3MT0-003F-94JV-00000-00&amp;context=1000516" TargetMode="External"/><Relationship Id="rId80" Type="http://schemas.openxmlformats.org/officeDocument/2006/relationships/hyperlink" Target="https://advance.lexis.com/api/document?collection=cases&amp;id=urn:contentItem:3YVN-GXB0-0039-40GB-00000-00&amp;context=1000516" TargetMode="External"/><Relationship Id="rId85" Type="http://schemas.openxmlformats.org/officeDocument/2006/relationships/hyperlink" Target="https://advance.lexis.com/api/document?collection=cases&amp;id=urn:contentItem:4XK4-VF40-TXFW-T2D7-00000-00&amp;context=1000516&amp;link=clscc4" TargetMode="External"/><Relationship Id="rId155" Type="http://schemas.openxmlformats.org/officeDocument/2006/relationships/customXml" Target="../customXml/item2.xml"/><Relationship Id="rId103" Type="http://schemas.openxmlformats.org/officeDocument/2006/relationships/hyperlink" Target="https://advance.lexis.com/api/document?collection=cases&amp;id=urn:contentItem:4XK4-VF40-TXFW-T2D7-00000-00&amp;context=1000516&amp;link=clscc6" TargetMode="External"/><Relationship Id="rId108" Type="http://schemas.openxmlformats.org/officeDocument/2006/relationships/hyperlink" Target="https://advance.lexis.com/api/document?collection=cases&amp;id=urn:contentItem:4460-X670-0039-409R-00000-00&amp;context=1000516" TargetMode="External"/><Relationship Id="rId12" Type="http://schemas.openxmlformats.org/officeDocument/2006/relationships/hyperlink" Target="https://advance.lexis.com/api/document?collection=cases&amp;id=urn:contentItem:7YXG-Y900-Y9NK-S11V-00000-00&amp;context=1000516" TargetMode="External"/><Relationship Id="rId124" Type="http://schemas.openxmlformats.org/officeDocument/2006/relationships/hyperlink" Target="https://advance.lexis.com/api/document?collection=statutes-legislation&amp;id=urn:contentItem:4X8J-5HC0-R03J-M03P-00000-00&amp;context=1000516" TargetMode="External"/><Relationship Id="rId129" Type="http://schemas.openxmlformats.org/officeDocument/2006/relationships/hyperlink" Target="https://advance.lexis.com/api/document?collection=cases&amp;id=urn:contentItem:3RRJ-71J0-003V-D3SG-00000-00&amp;context=1000516" TargetMode="External"/><Relationship Id="rId17" Type="http://schemas.openxmlformats.org/officeDocument/2006/relationships/hyperlink" Target="https://advance.lexis.com/api/document?collection=statutes-legislation&amp;id=urn:contentItem:6JNW-XN23-RSRK-S3HN-00009-00&amp;context=1000516" TargetMode="External"/><Relationship Id="rId33" Type="http://schemas.openxmlformats.org/officeDocument/2006/relationships/hyperlink" Target="https://advance.lexis.com/api/document?collection=statutes-legislation&amp;id=urn:contentItem:4X8J-5HC0-R03J-M03P-00000-00&amp;context=1000516" TargetMode="External"/><Relationship Id="rId38" Type="http://schemas.openxmlformats.org/officeDocument/2006/relationships/hyperlink" Target="https://advance.lexis.com/api/document?collection=statutes-legislation&amp;id=urn:contentItem:6JNW-XN23-RSRK-S1Y3-00009-00&amp;context=1000516" TargetMode="External"/><Relationship Id="rId59" Type="http://schemas.openxmlformats.org/officeDocument/2006/relationships/hyperlink" Target="https://advance.lexis.com/api/document?collection=cases&amp;id=urn:contentItem:4XK4-VF40-TXFW-T2D7-00000-00&amp;context=1000516&amp;link=clscc2" TargetMode="External"/><Relationship Id="rId140" Type="http://schemas.openxmlformats.org/officeDocument/2006/relationships/hyperlink" Target="https://advance.lexis.com/api/document?collection=statutes-legislation&amp;id=urn:contentItem:4X8J-71F0-R03N-S3KR-00000-00&amp;context=1000516" TargetMode="External"/><Relationship Id="rId145" Type="http://schemas.openxmlformats.org/officeDocument/2006/relationships/hyperlink" Target="https://advance.lexis.com/api/document?collection=cases&amp;id=urn:contentItem:4XK4-VF40-TXFW-T2D7-00000-00&amp;context=1000516&amp;link=clscc17" TargetMode="External"/><Relationship Id="rId54" Type="http://schemas.openxmlformats.org/officeDocument/2006/relationships/hyperlink" Target="https://advance.lexis.com/api/document?collection=cases&amp;id=urn:contentItem:4BX7-BYJ0-0039-44DC-00000-00&amp;context=1000516" TargetMode="External"/><Relationship Id="rId70" Type="http://schemas.openxmlformats.org/officeDocument/2006/relationships/hyperlink" Target="https://advance.lexis.com/api/document?collection=cases&amp;id=urn:contentItem:3YVN-GXB0-0039-40GB-00000-00&amp;context=1000516" TargetMode="External"/><Relationship Id="rId75" Type="http://schemas.openxmlformats.org/officeDocument/2006/relationships/hyperlink" Target="https://advance.lexis.com/api/document?collection=cases&amp;id=urn:contentItem:434B-YPJ0-0039-43RK-00000-00&amp;context=1000516" TargetMode="External"/><Relationship Id="rId91" Type="http://schemas.openxmlformats.org/officeDocument/2006/relationships/hyperlink" Target="https://advance.lexis.com/api/document?collection=cases&amp;id=urn:contentItem:3S3K-3H20-003F-91G6-00000-00&amp;context=1000516" TargetMode="External"/><Relationship Id="rId96" Type="http://schemas.openxmlformats.org/officeDocument/2006/relationships/hyperlink" Target="https://advance.lexis.com/api/document?collection=cases&amp;id=urn:contentItem:4736-T7C0-0039-43RH-00000-00&amp;context=1000516" TargetMode="External"/><Relationship Id="rId1" Type="http://schemas.openxmlformats.org/officeDocument/2006/relationships/footnotes" Target="footnotes.xml"/><Relationship Id="rId6" Type="http://schemas.openxmlformats.org/officeDocument/2006/relationships/footer" Target="footer1.xml"/><Relationship Id="rId114" Type="http://schemas.openxmlformats.org/officeDocument/2006/relationships/hyperlink" Target="https://advance.lexis.com/api/document?collection=statutes-legislation&amp;id=urn:contentItem:5NNX-T510-R03K-W387-00000-00&amp;context=1000516" TargetMode="External"/><Relationship Id="rId119" Type="http://schemas.openxmlformats.org/officeDocument/2006/relationships/hyperlink" Target="https://advance.lexis.com/api/document?collection=cases&amp;id=urn:contentItem:4XK4-VF40-TXFW-T2D7-00000-00&amp;context=1000516&amp;link=clscc11" TargetMode="External"/><Relationship Id="rId23" Type="http://schemas.openxmlformats.org/officeDocument/2006/relationships/hyperlink" Target="https://advance.lexis.com/api/document?collection=statutes-legislation&amp;id=urn:contentItem:4X8J-71F0-R03N-S3KR-00000-00&amp;context=1000516" TargetMode="External"/><Relationship Id="rId28" Type="http://schemas.openxmlformats.org/officeDocument/2006/relationships/hyperlink" Target="https://advance.lexis.com/api/document?collection=statutes-legislation&amp;id=urn:contentItem:4X8J-71F0-R03N-S3KR-00000-00&amp;context=1000516" TargetMode="External"/><Relationship Id="rId49" Type="http://schemas.openxmlformats.org/officeDocument/2006/relationships/hyperlink" Target="https://advance.lexis.com/api/document?collection=cases&amp;id=urn:contentItem:4V24-RKC0-TXFW-W2B2-00000-00&amp;context=1000516" TargetMode="External"/><Relationship Id="rId130" Type="http://schemas.openxmlformats.org/officeDocument/2006/relationships/hyperlink" Target="https://advance.lexis.com/api/document?collection=cases&amp;id=urn:contentItem:3RRJ-71J0-003V-D3SG-00000-00&amp;context=1000516" TargetMode="External"/><Relationship Id="rId135" Type="http://schemas.openxmlformats.org/officeDocument/2006/relationships/hyperlink" Target="https://advance.lexis.com/api/document?collection=cases&amp;id=urn:contentItem:3WC4-1F00-0039-41X0-00000-00&amp;context=1000516" TargetMode="External"/><Relationship Id="rId151" Type="http://schemas.openxmlformats.org/officeDocument/2006/relationships/hyperlink" Target="https://advance.lexis.com/api/document?collection=cases&amp;id=urn:contentItem:3RJN-55G0-0039-41CB-00000-00&amp;context=1000516" TargetMode="External"/><Relationship Id="rId44" Type="http://schemas.openxmlformats.org/officeDocument/2006/relationships/hyperlink" Target="https://advance.lexis.com/api/document?collection=statutes-legislation&amp;id=urn:contentItem:6JNW-XN23-RSRK-S2J4-00009-00&amp;context=1000516" TargetMode="External"/><Relationship Id="rId60" Type="http://schemas.openxmlformats.org/officeDocument/2006/relationships/hyperlink" Target="https://advance.lexis.com/api/document?collection=cases&amp;id=urn:contentItem:4V24-RKC0-TXFW-W2B2-00000-00&amp;context=1000516" TargetMode="External"/><Relationship Id="rId65" Type="http://schemas.openxmlformats.org/officeDocument/2006/relationships/hyperlink" Target="https://advance.lexis.com/api/document?collection=cases&amp;id=urn:contentItem:4TV5-HDC0-TXFW-W2TT-00000-00&amp;context=1000516" TargetMode="External"/><Relationship Id="rId81" Type="http://schemas.openxmlformats.org/officeDocument/2006/relationships/hyperlink" Target="https://advance.lexis.com/api/document?collection=cases&amp;id=urn:contentItem:3S3K-3KB0-003F-93D0-00000-00&amp;context=1000516" TargetMode="External"/><Relationship Id="rId86" Type="http://schemas.openxmlformats.org/officeDocument/2006/relationships/hyperlink" Target="https://advance.lexis.com/api/document?collection=cases&amp;id=urn:contentItem:3S4X-F500-0039-X3NW-00000-00&amp;context=1000516" TargetMode="External"/><Relationship Id="rId156" Type="http://schemas.openxmlformats.org/officeDocument/2006/relationships/customXml" Target="../customXml/item3.xml"/><Relationship Id="rId109" Type="http://schemas.openxmlformats.org/officeDocument/2006/relationships/hyperlink" Target="https://advance.lexis.com/api/document?collection=cases&amp;id=urn:contentItem:4460-X670-0039-409R-00000-00&amp;context=1000516" TargetMode="External"/><Relationship Id="rId13" Type="http://schemas.openxmlformats.org/officeDocument/2006/relationships/hyperlink" Target="https://advance.lexis.com/api/document?collection=statutes-legislation&amp;id=urn:contentItem:6JNW-XN23-RSRK-S2YC-00009-00&amp;context=1000516" TargetMode="External"/><Relationship Id="rId18" Type="http://schemas.openxmlformats.org/officeDocument/2006/relationships/hyperlink" Target="https://advance.lexis.com/api/document?collection=cases&amp;id=urn:contentItem:4XK4-VF40-TXFW-T2D7-00000-00&amp;context=1000516&amp;link=LNHNREFclscc2" TargetMode="External"/><Relationship Id="rId39" Type="http://schemas.openxmlformats.org/officeDocument/2006/relationships/hyperlink" Target="https://advance.lexis.com/api/document?collection=cases&amp;id=urn:contentItem:4XK4-VF40-TXFW-T2D7-00000-00&amp;context=1000516&amp;link=LNHNREFclscc15" TargetMode="External"/><Relationship Id="rId104" Type="http://schemas.openxmlformats.org/officeDocument/2006/relationships/hyperlink" Target="https://advance.lexis.com/api/document?collection=statutes-legislation&amp;id=urn:contentItem:4X8J-71F0-R03N-S3KR-00000-00&amp;context=1000516" TargetMode="External"/><Relationship Id="rId120" Type="http://schemas.openxmlformats.org/officeDocument/2006/relationships/hyperlink" Target="https://advance.lexis.com/api/document?collection=cases&amp;id=urn:contentItem:44VH-CP40-0039-424T-00000-00&amp;context=1000516" TargetMode="External"/><Relationship Id="rId125" Type="http://schemas.openxmlformats.org/officeDocument/2006/relationships/hyperlink" Target="https://advance.lexis.com/api/document?collection=cases&amp;id=urn:contentItem:4XK4-VF40-TXFW-T2D7-00000-00&amp;context=1000516&amp;link=clscc13" TargetMode="External"/><Relationship Id="rId141" Type="http://schemas.openxmlformats.org/officeDocument/2006/relationships/hyperlink" Target="https://advance.lexis.com/api/document?collection=cases&amp;id=urn:contentItem:4XK4-VF40-TXFW-T2D7-00000-00&amp;context=1000516&amp;link=clscc16" TargetMode="External"/><Relationship Id="rId146" Type="http://schemas.openxmlformats.org/officeDocument/2006/relationships/hyperlink" Target="https://advance.lexis.com/api/document?collection=statutes-legislation&amp;id=urn:contentItem:6JNW-XN23-RSRK-S2J4-00009-00&amp;context=1000516" TargetMode="External"/><Relationship Id="rId34" Type="http://schemas.openxmlformats.org/officeDocument/2006/relationships/hyperlink" Target="https://advance.lexis.com/api/document?collection=statutes-legislation&amp;id=urn:contentItem:4X8J-5HC0-R03J-M03P-00000-00&amp;context=1000516" TargetMode="External"/><Relationship Id="rId50" Type="http://schemas.openxmlformats.org/officeDocument/2006/relationships/hyperlink" Target="https://advance.lexis.com/api/document?collection=cases&amp;id=urn:contentItem:4BX7-BYJ0-0039-44DC-00000-00&amp;context=1000516" TargetMode="External"/><Relationship Id="rId55" Type="http://schemas.openxmlformats.org/officeDocument/2006/relationships/hyperlink" Target="https://advance.lexis.com/api/document?collection=cases&amp;id=urn:contentItem:4BX7-BYJ0-0039-44DC-00000-00&amp;context=1000516" TargetMode="External"/><Relationship Id="rId76" Type="http://schemas.openxmlformats.org/officeDocument/2006/relationships/hyperlink" Target="https://advance.lexis.com/api/document?collection=cases&amp;id=urn:contentItem:434B-YPJ0-0039-43RK-00000-00&amp;context=1000516" TargetMode="External"/><Relationship Id="rId97" Type="http://schemas.openxmlformats.org/officeDocument/2006/relationships/hyperlink" Target="https://advance.lexis.com/api/document?collection=cases&amp;id=urn:contentItem:3RFG-6340-0039-4013-00000-00&amp;context=1000516" TargetMode="External"/><Relationship Id="rId7" Type="http://schemas.openxmlformats.org/officeDocument/2006/relationships/footer" Target="footer2.xml"/><Relationship Id="rId71" Type="http://schemas.openxmlformats.org/officeDocument/2006/relationships/hyperlink" Target="https://advance.lexis.com/api/document?collection=cases&amp;id=urn:contentItem:3YVN-GXB0-0039-40GB-00000-00&amp;context=1000516" TargetMode="External"/><Relationship Id="rId92" Type="http://schemas.openxmlformats.org/officeDocument/2006/relationships/hyperlink" Target="https://advance.lexis.com/api/document?collection=cases&amp;id=urn:contentItem:3S4N-FDR0-008H-F3C3-00000-00&amp;context=1000516" TargetMode="External"/><Relationship Id="rId2" Type="http://schemas.openxmlformats.org/officeDocument/2006/relationships/settings" Target="settings.xml"/><Relationship Id="rId29" Type="http://schemas.openxmlformats.org/officeDocument/2006/relationships/hyperlink" Target="https://advance.lexis.com/api/document?collection=cases&amp;id=urn:contentItem:4XK4-VF40-TXFW-T2D7-00000-00&amp;context=1000516&amp;link=LNHNREFclscc10" TargetMode="External"/><Relationship Id="rId110" Type="http://schemas.openxmlformats.org/officeDocument/2006/relationships/hyperlink" Target="https://advance.lexis.com/api/document?collection=statutes-legislation&amp;id=urn:contentItem:4X8J-71F0-R03N-S3KR-00000-00&amp;context=1000516" TargetMode="External"/><Relationship Id="rId115" Type="http://schemas.openxmlformats.org/officeDocument/2006/relationships/hyperlink" Target="https://advance.lexis.com/api/document?collection=cases&amp;id=urn:contentItem:4XK4-VF40-TXFW-T2D7-00000-00&amp;context=1000516&amp;link=clscc9" TargetMode="External"/><Relationship Id="rId131" Type="http://schemas.openxmlformats.org/officeDocument/2006/relationships/hyperlink" Target="https://advance.lexis.com/api/document?collection=cases&amp;id=urn:contentItem:4XK4-VF40-TXFW-T2D7-00000-00&amp;context=1000516&amp;link=clscc14" TargetMode="External"/><Relationship Id="rId136" Type="http://schemas.openxmlformats.org/officeDocument/2006/relationships/hyperlink" Target="https://advance.lexis.com/api/document?collection=cases&amp;id=urn:contentItem:3WC4-1F00-0039-41X0-00000-00&amp;context=1000516" TargetMode="External"/><Relationship Id="rId24" Type="http://schemas.openxmlformats.org/officeDocument/2006/relationships/hyperlink" Target="https://advance.lexis.com/api/document?collection=cases&amp;id=urn:contentItem:4XK4-VF40-TXFW-T2D7-00000-00&amp;context=1000516&amp;link=LNHNREFclscc7" TargetMode="External"/><Relationship Id="rId40" Type="http://schemas.openxmlformats.org/officeDocument/2006/relationships/hyperlink" Target="https://advance.lexis.com/api/document?collection=statutes-legislation&amp;id=urn:contentItem:4X8J-71F0-R03N-S3KR-00000-00&amp;context=1000516" TargetMode="External"/><Relationship Id="rId45" Type="http://schemas.openxmlformats.org/officeDocument/2006/relationships/hyperlink" Target="https://advance.lexis.com/api/document?collection=statutes-legislation&amp;id=urn:contentItem:6JNW-XN23-RSRK-S1FD-00009-00&amp;context=1000516" TargetMode="External"/><Relationship Id="rId66" Type="http://schemas.openxmlformats.org/officeDocument/2006/relationships/hyperlink" Target="https://advance.lexis.com/api/document?collection=cases&amp;id=urn:contentItem:4V24-RKC0-TXFW-W2B2-00000-00&amp;context=1000516" TargetMode="External"/><Relationship Id="rId87" Type="http://schemas.openxmlformats.org/officeDocument/2006/relationships/hyperlink" Target="https://advance.lexis.com/api/document?collection=cases&amp;id=urn:contentItem:3S4X-F500-0039-X3NW-00000-00&amp;context=1000516" TargetMode="External"/><Relationship Id="rId152" Type="http://schemas.openxmlformats.org/officeDocument/2006/relationships/theme" Target="theme/theme1.xml"/><Relationship Id="rId61" Type="http://schemas.openxmlformats.org/officeDocument/2006/relationships/hyperlink" Target="https://advance.lexis.com/api/document?collection=cases&amp;id=urn:contentItem:4V24-RKC0-TXFW-W2B2-00000-00&amp;context=1000516" TargetMode="External"/><Relationship Id="rId82" Type="http://schemas.openxmlformats.org/officeDocument/2006/relationships/hyperlink" Target="https://advance.lexis.com/api/document?collection=cases&amp;id=urn:contentItem:3S3K-3KB0-003F-93D0-00000-00&amp;context=1000516" TargetMode="External"/><Relationship Id="rId19" Type="http://schemas.openxmlformats.org/officeDocument/2006/relationships/hyperlink" Target="https://advance.lexis.com/api/document?collection=cases&amp;id=urn:contentItem:4XK4-VF40-TXFW-T2D7-00000-00&amp;context=1000516&amp;link=LNHNREFclscc3" TargetMode="External"/><Relationship Id="rId100" Type="http://schemas.openxmlformats.org/officeDocument/2006/relationships/hyperlink" Target="https://advance.lexis.com/api/document?collection=cases&amp;id=urn:contentItem:3RRJ-3PP0-003V-D17B-00000-00&amp;context=1000516" TargetMode="External"/><Relationship Id="rId105" Type="http://schemas.openxmlformats.org/officeDocument/2006/relationships/hyperlink" Target="https://advance.lexis.com/api/document?collection=cases&amp;id=urn:contentItem:3S3K-4HX0-003F-94WD-00000-00&amp;context=1000516" TargetMode="External"/><Relationship Id="rId126" Type="http://schemas.openxmlformats.org/officeDocument/2006/relationships/hyperlink" Target="https://advance.lexis.com/api/document?collection=statutes-legislation&amp;id=urn:contentItem:4X8J-71F0-R03N-S3KP-00000-00&amp;context=1000516" TargetMode="External"/><Relationship Id="rId14" Type="http://schemas.openxmlformats.org/officeDocument/2006/relationships/hyperlink" Target="https://advance.lexis.com/api/document?collection=statutes-legislation&amp;id=urn:contentItem:4X8J-71F0-R03N-S3KR-00000-00&amp;context=1000516" TargetMode="External"/><Relationship Id="rId147" Type="http://schemas.openxmlformats.org/officeDocument/2006/relationships/hyperlink" Target="https://advance.lexis.com/api/document?collection=cases&amp;id=urn:contentItem:3RJN-55G0-0039-41CB-00000-00&amp;context=1000516" TargetMode="External"/><Relationship Id="rId30" Type="http://schemas.openxmlformats.org/officeDocument/2006/relationships/hyperlink" Target="https://advance.lexis.com/api/document?collection=statutes-legislation&amp;id=urn:contentItem:4X8J-5HC0-R03J-M03P-00000-00&amp;context=1000516" TargetMode="External"/><Relationship Id="rId35" Type="http://schemas.openxmlformats.org/officeDocument/2006/relationships/hyperlink" Target="https://advance.lexis.com/api/document?collection=cases&amp;id=urn:contentItem:4XK4-VF40-TXFW-T2D7-00000-00&amp;context=1000516&amp;link=LNHNREFclscc13" TargetMode="External"/><Relationship Id="rId56" Type="http://schemas.openxmlformats.org/officeDocument/2006/relationships/hyperlink" Target="https://advance.lexis.com/api/document?collection=statutes-legislation&amp;id=urn:contentItem:6JNW-XN23-RSRK-S3HN-00009-00&amp;context=1000516" TargetMode="External"/><Relationship Id="rId77" Type="http://schemas.openxmlformats.org/officeDocument/2006/relationships/hyperlink" Target="https://advance.lexis.com/api/document?collection=cases&amp;id=urn:contentItem:42DG-NXV0-0039-414N-00000-00&amp;context=1000516" TargetMode="External"/><Relationship Id="rId121" Type="http://schemas.openxmlformats.org/officeDocument/2006/relationships/hyperlink" Target="https://advance.lexis.com/api/document?collection=cases&amp;id=urn:contentItem:44VH-CP40-0039-424T-00000-00&amp;context=1000516" TargetMode="External"/><Relationship Id="rId142" Type="http://schemas.openxmlformats.org/officeDocument/2006/relationships/hyperlink" Target="https://advance.lexis.com/api/document?collection=statutes-legislation&amp;id=urn:contentItem:4X8J-71F0-R03N-S3KP-00000-00&amp;context=1000516" TargetMode="External"/><Relationship Id="rId51" Type="http://schemas.openxmlformats.org/officeDocument/2006/relationships/hyperlink" Target="https://advance.lexis.com/api/document?collection=cases&amp;id=urn:contentItem:4BX7-BYJ0-0039-44DC-00000-00&amp;context=1000516" TargetMode="External"/><Relationship Id="rId72" Type="http://schemas.openxmlformats.org/officeDocument/2006/relationships/hyperlink" Target="https://advance.lexis.com/api/document?collection=cases&amp;id=urn:contentItem:3S3K-3KB0-003F-93D0-00000-00&amp;context=1000516" TargetMode="External"/><Relationship Id="rId8" Type="http://schemas.openxmlformats.org/officeDocument/2006/relationships/hyperlink" Target="https://advance.lexis.com/api/shepards?id=urn:contentItem:7XXR-M4Y1-2NSD-R0P9-00000-00&amp;category=initial&amp;context=1000516" TargetMode="External"/><Relationship Id="rId93" Type="http://schemas.openxmlformats.org/officeDocument/2006/relationships/hyperlink" Target="https://advance.lexis.com/api/document?collection=cases&amp;id=urn:contentItem:3S4N-FDR0-008H-F3C3-00000-00&amp;context=1000516" TargetMode="External"/><Relationship Id="rId98" Type="http://schemas.openxmlformats.org/officeDocument/2006/relationships/hyperlink" Target="https://advance.lexis.com/api/document?collection=cases&amp;id=urn:contentItem:3RFG-6340-0039-4013-00000-00&amp;context=1000516" TargetMode="External"/><Relationship Id="rId3" Type="http://schemas.openxmlformats.org/officeDocument/2006/relationships/webSettings" Target="webSettings.xml"/><Relationship Id="rId116" Type="http://schemas.openxmlformats.org/officeDocument/2006/relationships/hyperlink" Target="https://advance.lexis.com/api/document?collection=statutes-legislation&amp;id=urn:contentItem:4X8J-71F0-R03N-S3KR-00000-00&amp;context=1000516" TargetMode="External"/><Relationship Id="rId137" Type="http://schemas.openxmlformats.org/officeDocument/2006/relationships/hyperlink" Target="https://advance.lexis.com/api/document?collection=cases&amp;id=urn:contentItem:3S3K-3M40-003F-942M-00000-00&amp;context=1000516" TargetMode="External"/><Relationship Id="rId25" Type="http://schemas.openxmlformats.org/officeDocument/2006/relationships/hyperlink" Target="https://advance.lexis.com/api/document?collection=cases&amp;id=urn:contentItem:4XK4-VF40-TXFW-T2D7-00000-00&amp;context=1000516&amp;link=LNHNREFclscc8" TargetMode="External"/><Relationship Id="rId46" Type="http://schemas.openxmlformats.org/officeDocument/2006/relationships/hyperlink" Target="https://advance.lexis.com/api/document?collection=cases&amp;id=urn:contentItem:4XK4-VF40-TXFW-T2D7-00000-00&amp;context=1000516&amp;link=clscc1" TargetMode="External"/><Relationship Id="rId67" Type="http://schemas.openxmlformats.org/officeDocument/2006/relationships/hyperlink" Target="https://advance.lexis.com/api/document?collection=cases&amp;id=urn:contentItem:4V24-RKC0-TXFW-W2B2-00000-00&amp;context=1000516" TargetMode="External"/><Relationship Id="rId111" Type="http://schemas.openxmlformats.org/officeDocument/2006/relationships/hyperlink" Target="https://advance.lexis.com/api/document?collection=statutes-legislation&amp;id=urn:contentItem:4X8J-71F0-R03N-S3KR-00000-00&amp;context=1000516" TargetMode="External"/><Relationship Id="rId132" Type="http://schemas.openxmlformats.org/officeDocument/2006/relationships/hyperlink" Target="https://advance.lexis.com/api/document?collection=statutes-legislation&amp;id=urn:contentItem:6JNW-XN23-RSRK-S1Y3-00009-00&amp;context=1000516" TargetMode="External"/><Relationship Id="rId153" Type="http://schemas.openxmlformats.org/officeDocument/2006/relationships/styles" Target="styles.xml"/><Relationship Id="rId20" Type="http://schemas.openxmlformats.org/officeDocument/2006/relationships/hyperlink" Target="https://advance.lexis.com/api/document?collection=cases&amp;id=urn:contentItem:4XK4-VF40-TXFW-T2D7-00000-00&amp;context=1000516&amp;link=LNHNREFclscc4" TargetMode="External"/><Relationship Id="rId41" Type="http://schemas.openxmlformats.org/officeDocument/2006/relationships/hyperlink" Target="https://advance.lexis.com/api/document?collection=cases&amp;id=urn:contentItem:4XK4-VF40-TXFW-T2D7-00000-00&amp;context=1000516&amp;link=LNHNREFclscc16" TargetMode="External"/><Relationship Id="rId62" Type="http://schemas.openxmlformats.org/officeDocument/2006/relationships/hyperlink" Target="https://advance.lexis.com/api/document?collection=cases&amp;id=urn:contentItem:3RRK-2WS0-0039-4551-00000-00&amp;context=1000516" TargetMode="External"/><Relationship Id="rId83" Type="http://schemas.openxmlformats.org/officeDocument/2006/relationships/hyperlink" Target="https://advance.lexis.com/api/document?collection=cases&amp;id=urn:contentItem:4TV5-HDC0-TXFW-W2TT-00000-00&amp;context=1000516" TargetMode="External"/><Relationship Id="rId88" Type="http://schemas.openxmlformats.org/officeDocument/2006/relationships/hyperlink" Target="https://advance.lexis.com/api/document?collection=cases&amp;id=urn:contentItem:3RRJ-4840-003V-D4K0-00000-00&amp;context=1000516" TargetMode="External"/><Relationship Id="rId106" Type="http://schemas.openxmlformats.org/officeDocument/2006/relationships/hyperlink" Target="https://advance.lexis.com/api/document?collection=cases&amp;id=urn:contentItem:3S3K-4HX0-003F-94WD-00000-00&amp;context=1000516" TargetMode="External"/><Relationship Id="rId127" Type="http://schemas.openxmlformats.org/officeDocument/2006/relationships/hyperlink" Target="https://advance.lexis.com/api/document?collection=cases&amp;id=urn:contentItem:3S3K-3M40-003F-942M-00000-00&amp;context=1000516" TargetMode="External"/><Relationship Id="rId15" Type="http://schemas.openxmlformats.org/officeDocument/2006/relationships/hyperlink" Target="https://advance.lexis.com/api/document?collection=cases&amp;id=urn:contentItem:4XK4-VF40-TXFW-T2D7-00000-00&amp;context=1000516&amp;link=LNHNREFclscc1" TargetMode="External"/><Relationship Id="rId36" Type="http://schemas.openxmlformats.org/officeDocument/2006/relationships/hyperlink" Target="https://advance.lexis.com/api/document?collection=statutes-legislation&amp;id=urn:contentItem:4X8J-71F0-R03N-S3KP-00000-00&amp;context=1000516" TargetMode="External"/><Relationship Id="rId57" Type="http://schemas.openxmlformats.org/officeDocument/2006/relationships/hyperlink" Target="https://advance.lexis.com/api/document?collection=cases&amp;id=urn:contentItem:4BX7-BYJ0-0039-44DC-00000-00&amp;context=1000516" TargetMode="External"/><Relationship Id="rId10" Type="http://schemas.openxmlformats.org/officeDocument/2006/relationships/hyperlink" Target="https://advance.lexis.com/api/document?collection=cases&amp;id=urn:contentItem:4XK4-VF40-TXFW-T2D7-00000-00&amp;context=1000516" TargetMode="External"/><Relationship Id="rId101" Type="http://schemas.openxmlformats.org/officeDocument/2006/relationships/hyperlink" Target="https://advance.lexis.com/api/document?collection=cases&amp;id=urn:contentItem:3RRJ-40B0-003V-D2W9-00000-00&amp;context=1000516" TargetMode="External"/><Relationship Id="rId122" Type="http://schemas.openxmlformats.org/officeDocument/2006/relationships/hyperlink" Target="https://advance.lexis.com/api/document?collection=cases&amp;id=urn:contentItem:4KWT-DH40-0039-43Y4-00000-00&amp;context=1000516" TargetMode="External"/><Relationship Id="rId143" Type="http://schemas.openxmlformats.org/officeDocument/2006/relationships/hyperlink" Target="https://advance.lexis.com/api/document?collection=cases&amp;id=urn:contentItem:3S3H-PT00-0039-429H-00000-00&amp;context=1000516" TargetMode="External"/><Relationship Id="rId148" Type="http://schemas.openxmlformats.org/officeDocument/2006/relationships/hyperlink" Target="https://advance.lexis.com/api/document?collection=cases&amp;id=urn:contentItem:3RJN-55G0-0039-41CB-00000-00&amp;context=1000516" TargetMode="External"/><Relationship Id="rId31" Type="http://schemas.openxmlformats.org/officeDocument/2006/relationships/hyperlink" Target="https://advance.lexis.com/api/document?collection=cases&amp;id=urn:contentItem:4XK4-VF40-TXFW-T2D7-00000-00&amp;context=1000516&amp;link=LNHNREFclscc11" TargetMode="External"/><Relationship Id="rId52" Type="http://schemas.openxmlformats.org/officeDocument/2006/relationships/hyperlink" Target="https://advance.lexis.com/api/document?collection=cases&amp;id=urn:contentItem:4D69-72T0-0039-43N5-00000-00&amp;context=1000516" TargetMode="External"/><Relationship Id="rId73" Type="http://schemas.openxmlformats.org/officeDocument/2006/relationships/hyperlink" Target="https://advance.lexis.com/api/document?collection=cases&amp;id=urn:contentItem:3S3K-3KB0-003F-93D0-00000-00&amp;context=1000516" TargetMode="External"/><Relationship Id="rId78" Type="http://schemas.openxmlformats.org/officeDocument/2006/relationships/hyperlink" Target="https://advance.lexis.com/api/document?collection=cases&amp;id=urn:contentItem:42DG-NXV0-0039-414N-00000-00&amp;context=1000516" TargetMode="External"/><Relationship Id="rId94" Type="http://schemas.openxmlformats.org/officeDocument/2006/relationships/hyperlink" Target="https://advance.lexis.com/api/document?collection=cases&amp;id=urn:contentItem:4XK4-VF40-TXFW-T2D7-00000-00&amp;context=1000516&amp;link=clscc5" TargetMode="External"/><Relationship Id="rId99" Type="http://schemas.openxmlformats.org/officeDocument/2006/relationships/hyperlink" Target="https://advance.lexis.com/api/document?collection=cases&amp;id=urn:contentItem:3RRJ-3PP0-003V-D17B-00000-00&amp;context=1000516" TargetMode="External"/><Relationship Id="rId4" Type="http://schemas.openxmlformats.org/officeDocument/2006/relationships/fontTable" Target="fontTable.xml"/><Relationship Id="rId9" Type="http://schemas.openxmlformats.org/officeDocument/2006/relationships/image" Target="media/image1.png"/><Relationship Id="rId26" Type="http://schemas.openxmlformats.org/officeDocument/2006/relationships/hyperlink" Target="https://advance.lexis.com/api/document?collection=statutes-legislation&amp;id=urn:contentItem:4X8J-71F0-R03N-S3KR-00000-00&amp;context=1000516" TargetMode="External"/><Relationship Id="rId112" Type="http://schemas.openxmlformats.org/officeDocument/2006/relationships/hyperlink" Target="https://advance.lexis.com/api/document?collection=statutes-legislation&amp;id=urn:contentItem:4X8J-71F0-R03N-S3KR-00000-00&amp;context=1000516" TargetMode="External"/><Relationship Id="rId133" Type="http://schemas.openxmlformats.org/officeDocument/2006/relationships/hyperlink" Target="https://advance.lexis.com/api/document?collection=cases&amp;id=urn:contentItem:41NS-TMY0-0039-41TK-00000-00&amp;context=1000516" TargetMode="External"/><Relationship Id="rId47" Type="http://schemas.openxmlformats.org/officeDocument/2006/relationships/image" Target="media/image3.png"/><Relationship Id="rId68" Type="http://schemas.openxmlformats.org/officeDocument/2006/relationships/hyperlink" Target="https://advance.lexis.com/api/document?collection=cases&amp;id=urn:contentItem:4TV5-HDC0-TXFW-W2TT-00000-00&amp;context=1000516" TargetMode="External"/><Relationship Id="rId89" Type="http://schemas.openxmlformats.org/officeDocument/2006/relationships/hyperlink" Target="https://advance.lexis.com/api/document?collection=cases&amp;id=urn:contentItem:3RRJ-4840-003V-D4K0-00000-00&amp;context=1000516" TargetMode="External"/><Relationship Id="rId154" Type="http://schemas.openxmlformats.org/officeDocument/2006/relationships/customXml" Target="../customXml/item1.xml"/><Relationship Id="rId16" Type="http://schemas.openxmlformats.org/officeDocument/2006/relationships/image" Target="media/image2.png"/><Relationship Id="rId102" Type="http://schemas.openxmlformats.org/officeDocument/2006/relationships/hyperlink" Target="https://advance.lexis.com/api/document?collection=cases&amp;id=urn:contentItem:3RRJ-40B0-003V-D2W9-00000-00&amp;context=1000516" TargetMode="External"/><Relationship Id="rId123" Type="http://schemas.openxmlformats.org/officeDocument/2006/relationships/hyperlink" Target="https://advance.lexis.com/api/document?collection=cases&amp;id=urn:contentItem:4KWT-DH40-0039-43Y4-00000-00&amp;context=1000516" TargetMode="External"/><Relationship Id="rId144" Type="http://schemas.openxmlformats.org/officeDocument/2006/relationships/hyperlink" Target="https://advance.lexis.com/api/document?collection=cases&amp;id=urn:contentItem:3S3H-PT00-0039-429H-00000-00&amp;context=1000516" TargetMode="External"/><Relationship Id="rId37" Type="http://schemas.openxmlformats.org/officeDocument/2006/relationships/hyperlink" Target="https://advance.lexis.com/api/document?collection=cases&amp;id=urn:contentItem:4XK4-VF40-TXFW-T2D7-00000-00&amp;context=1000516&amp;link=LNHNREFclscc14" TargetMode="External"/><Relationship Id="rId58" Type="http://schemas.openxmlformats.org/officeDocument/2006/relationships/hyperlink" Target="https://advance.lexis.com/api/document?collection=cases&amp;id=urn:contentItem:4BX7-BYJ0-0039-44DC-00000-00&amp;context=1000516" TargetMode="External"/><Relationship Id="rId79" Type="http://schemas.openxmlformats.org/officeDocument/2006/relationships/hyperlink" Target="https://advance.lexis.com/api/document?collection=cases&amp;id=urn:contentItem:3YVN-GXB0-0039-40GB-00000-00&amp;context=1000516" TargetMode="External"/><Relationship Id="rId90" Type="http://schemas.openxmlformats.org/officeDocument/2006/relationships/hyperlink" Target="https://advance.lexis.com/api/document?collection=cases&amp;id=urn:contentItem:3S3K-3H20-003F-91G6-00000-00&amp;context=1000516" TargetMode="External"/></Relationships>
</file>

<file path=word/_rels/footnotes.xml.rels><?xml version="1.0" encoding="utf-8" standalone="yes"?><Relationships xmlns="http://schemas.openxmlformats.org/package/2006/relationships"><Relationship Id="rId1" Type="http://schemas.openxmlformats.org/officeDocument/2006/relationships/hyperlink" Target="https://advance.lexis.com/api/document?collection=statutes-legislation&amp;id=urn:contentItem:4X8J-71F0-R03N-S3KR-00000-00&amp;context=1000516" TargetMode="External" /><Relationship Id="rId10" Type="http://schemas.openxmlformats.org/officeDocument/2006/relationships/hyperlink" Target="https://advance.lexis.com/api/document?collection=cases&amp;id=urn:contentItem:4XK4-VF40-TXFW-T2D7-00000-00&amp;context=1000516&amp;link=clscc12" TargetMode="External" /><Relationship Id="rId11" Type="http://schemas.openxmlformats.org/officeDocument/2006/relationships/image" Target="media/image3.png" /><Relationship Id="rId12" Type="http://schemas.openxmlformats.org/officeDocument/2006/relationships/hyperlink" Target="https://advance.lexis.com/api/document?collection=statutes-legislation&amp;id=urn:contentItem:4X8J-5HC0-R03J-M03P-00000-00&amp;context=1000516" TargetMode="External" /><Relationship Id="rId13" Type="http://schemas.openxmlformats.org/officeDocument/2006/relationships/hyperlink" Target="https://advance.lexis.com/api/document?collection=cases&amp;id=urn:contentItem:4NK4-4MN0-0039-403P-00000-00&amp;context=1000516" TargetMode="External" /><Relationship Id="rId14" Type="http://schemas.openxmlformats.org/officeDocument/2006/relationships/hyperlink" Target="https://advance.lexis.com/api/document?collection=cases&amp;id=urn:contentItem:4NK4-4MN0-0039-403P-00000-00&amp;context=1000516" TargetMode="External" /><Relationship Id="rId15" Type="http://schemas.openxmlformats.org/officeDocument/2006/relationships/hyperlink" Target="https://advance.lexis.com/api/document?collection=statutes-legislation&amp;id=urn:contentItem:4X8J-5HC0-R03J-M03P-00000-00&amp;context=1000516" TargetMode="External" /><Relationship Id="rId16" Type="http://schemas.openxmlformats.org/officeDocument/2006/relationships/hyperlink" Target="https://advance.lexis.com/api/document?collection=cases&amp;id=urn:contentItem:4FHC-BC80-0039-44G4-00000-00&amp;context=1000516" TargetMode="External" /><Relationship Id="rId17" Type="http://schemas.openxmlformats.org/officeDocument/2006/relationships/hyperlink" Target="https://advance.lexis.com/api/document?collection=cases&amp;id=urn:contentItem:4FHC-BC80-0039-44G4-00000-00&amp;context=1000516" TargetMode="External" /><Relationship Id="rId18" Type="http://schemas.openxmlformats.org/officeDocument/2006/relationships/hyperlink" Target="https://advance.lexis.com/api/document?collection=statutes-legislation&amp;id=urn:contentItem:4X8J-5HC0-R03J-M03P-00000-00&amp;context=1000516" TargetMode="External" /><Relationship Id="rId19" Type="http://schemas.openxmlformats.org/officeDocument/2006/relationships/hyperlink" Target="https://advance.lexis.com/api/document?collection=cases&amp;id=urn:contentItem:412R-XT40-0039-41F6-00000-00&amp;context=1000516" TargetMode="External" /><Relationship Id="rId2" Type="http://schemas.openxmlformats.org/officeDocument/2006/relationships/hyperlink" Target="https://advance.lexis.com/api/document?collection=statutes-legislation&amp;id=urn:contentItem:5NNX-T510-R03K-W387-00000-00&amp;context=1000516" TargetMode="External" /><Relationship Id="rId20" Type="http://schemas.openxmlformats.org/officeDocument/2006/relationships/hyperlink" Target="https://advance.lexis.com/api/document?collection=cases&amp;id=urn:contentItem:412R-XT40-0039-41F6-00000-00&amp;context=1000516" TargetMode="External" /><Relationship Id="rId3" Type="http://schemas.openxmlformats.org/officeDocument/2006/relationships/hyperlink" Target="https://advance.lexis.com/api/document?collection=cases&amp;id=urn:contentItem:4BYC-1190-0039-4213-00000-00&amp;context=1000516" TargetMode="External" /><Relationship Id="rId4" Type="http://schemas.openxmlformats.org/officeDocument/2006/relationships/hyperlink" Target="https://advance.lexis.com/api/document?collection=cases&amp;id=urn:contentItem:4BYC-1190-0039-4213-00000-00&amp;context=1000516" TargetMode="External" /><Relationship Id="rId5" Type="http://schemas.openxmlformats.org/officeDocument/2006/relationships/hyperlink" Target="https://advance.lexis.com/api/document?collection=statutes-legislation&amp;id=urn:contentItem:4X8J-71F0-R03N-S3KR-00000-00&amp;context=1000516" TargetMode="External" /><Relationship Id="rId6" Type="http://schemas.openxmlformats.org/officeDocument/2006/relationships/hyperlink" Target="https://advance.lexis.com/api/document?collection=statutes-legislation&amp;id=urn:contentItem:5NNX-T510-R03K-W387-00000-00&amp;context=1000516" TargetMode="External" /><Relationship Id="rId7" Type="http://schemas.openxmlformats.org/officeDocument/2006/relationships/hyperlink" Target="https://advance.lexis.com/api/document?collection=statutes-legislation&amp;id=urn:contentItem:4X8J-5HC0-R03J-M03P-00000-00&amp;context=1000516" TargetMode="External" /><Relationship Id="rId8" Type="http://schemas.openxmlformats.org/officeDocument/2006/relationships/hyperlink" Target="https://advance.lexis.com/api/document?collection=cases&amp;id=urn:contentItem:4NK4-4MN0-0039-403P-00000-00&amp;context=1000516" TargetMode="External" /><Relationship Id="rId9" Type="http://schemas.openxmlformats.org/officeDocument/2006/relationships/hyperlink" Target="https://advance.lexis.com/api/document?collection=cases&amp;id=urn:contentItem:4NK4-4MN0-0039-403P-00000-00&amp;context=100051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40C9B90ADB5E46BB6CE9595DCA5FB6" ma:contentTypeVersion="21" ma:contentTypeDescription="Create a new document." ma:contentTypeScope="" ma:versionID="177b34580d11a63db260ab1febdc348c">
  <xsd:schema xmlns:xsd="http://www.w3.org/2001/XMLSchema" xmlns:xs="http://www.w3.org/2001/XMLSchema" xmlns:p="http://schemas.microsoft.com/office/2006/metadata/properties" xmlns:ns2="4de4abfd-53f5-43bb-96ab-5842d08f581c" xmlns:ns3="91328b03-8ff5-4351-9cc7-829ceed2dd6d" targetNamespace="http://schemas.microsoft.com/office/2006/metadata/properties" ma:root="true" ma:fieldsID="4ad9e9514c7661d996d6e3e4649bd2b1" ns2:_="" ns3:_="">
    <xsd:import namespace="4de4abfd-53f5-43bb-96ab-5842d08f581c"/>
    <xsd:import namespace="91328b03-8ff5-4351-9cc7-829ceed2dd6d"/>
    <xsd:element name="properties">
      <xsd:complexType>
        <xsd:sequence>
          <xsd:element name="documentManagement">
            <xsd:complexType>
              <xsd:all>
                <xsd:element ref="ns2:MediaServiceMetadata" minOccurs="0"/>
                <xsd:element ref="ns2:MediaServiceFastMetadata" minOccurs="0"/>
                <xsd:element ref="ns2:Inactive" minOccurs="0"/>
                <xsd:element ref="ns2:MediaServiceDateTaken" minOccurs="0"/>
                <xsd:element ref="ns2:Folder_x0020_Name"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e4abfd-53f5-43bb-96ab-5842d08f58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Inactive" ma:index="10" nillable="true" ma:displayName="Inactive" ma:default="0" ma:description="Check this box to mark the document as inactive, and hide it from view." ma:internalName="Inactive">
      <xsd:simpleType>
        <xsd:restriction base="dms:Boolean"/>
      </xsd:simpleType>
    </xsd:element>
    <xsd:element name="MediaServiceDateTaken" ma:index="11" nillable="true" ma:displayName="MediaServiceDateTaken" ma:hidden="true" ma:internalName="MediaServiceDateTaken" ma:readOnly="true">
      <xsd:simpleType>
        <xsd:restriction base="dms:Text"/>
      </xsd:simpleType>
    </xsd:element>
    <xsd:element name="Folder_x0020_Name" ma:index="12" nillable="true" ma:displayName="Folder Name" ma:internalName="Folder_x0020_Name">
      <xsd:simpleType>
        <xsd:restriction base="dms:Text">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c3aa6b-a2da-49d6-b9c8-2de0e077a7ea"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328b03-8ff5-4351-9cc7-829ceed2dd6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36baad4-53db-4601-8758-3ceca7aa182f}" ma:internalName="TaxCatchAll" ma:showField="CatchAllData" ma:web="91328b03-8ff5-4351-9cc7-829ceed2dd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nactive xmlns="4de4abfd-53f5-43bb-96ab-5842d08f581c">false</Inactive>
    <lcf76f155ced4ddcb4097134ff3c332f xmlns="4de4abfd-53f5-43bb-96ab-5842d08f581c">
      <Terms xmlns="http://schemas.microsoft.com/office/infopath/2007/PartnerControls"/>
    </lcf76f155ced4ddcb4097134ff3c332f>
    <Folder_x0020_Name xmlns="4de4abfd-53f5-43bb-96ab-5842d08f581c" xsi:nil="true"/>
    <TaxCatchAll xmlns="91328b03-8ff5-4351-9cc7-829ceed2dd6d" xsi:nil="true"/>
  </documentManagement>
</p:properties>
</file>

<file path=customXml/itemProps1.xml><?xml version="1.0" encoding="utf-8"?>
<ds:datastoreItem xmlns:ds="http://schemas.openxmlformats.org/officeDocument/2006/customXml" ds:itemID="{9CD93EC2-348D-4CFF-8B9E-27E559A5FA64}"/>
</file>

<file path=customXml/itemProps2.xml><?xml version="1.0" encoding="utf-8"?>
<ds:datastoreItem xmlns:ds="http://schemas.openxmlformats.org/officeDocument/2006/customXml" ds:itemID="{86A7F631-A427-4CAF-AF37-D211A48273DA}"/>
</file>

<file path=customXml/itemProps3.xml><?xml version="1.0" encoding="utf-8"?>
<ds:datastoreItem xmlns:ds="http://schemas.openxmlformats.org/officeDocument/2006/customXml" ds:itemID="{FA32F308-F33C-4389-94CA-C302BABF59AB}"/>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Range v. Sowell, 2009 Tenn. App. LEXIS 723</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DocCount">
    <vt:lpwstr>1</vt:lpwstr>
  </property>
  <property fmtid="{D5CDD505-2E9C-101B-9397-08002B2CF9AE}" pid="3" name="LADocumentID:urn:contentItem:4XK4-VF40-TXFW-T2D7-00000-00">
    <vt:lpwstr>Doc::/shared/document|contextualFeaturePermID::1000516</vt:lpwstr>
  </property>
  <property fmtid="{D5CDD505-2E9C-101B-9397-08002B2CF9AE}" pid="4" name="LNDeliveryID">
    <vt:lpwstr>292334580</vt:lpwstr>
  </property>
  <property fmtid="{D5CDD505-2E9C-101B-9397-08002B2CF9AE}" pid="5" name="UserPermID">
    <vt:lpwstr>urn:user:PA195924284</vt:lpwstr>
  </property>
  <property fmtid="{D5CDD505-2E9C-101B-9397-08002B2CF9AE}" pid="6" name="ContentTypeId">
    <vt:lpwstr>0x010100A340C9B90ADB5E46BB6CE9595DCA5FB6</vt:lpwstr>
  </property>
</Properties>
</file>