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98EAB" w14:textId="3D487019" w:rsidR="00D03B65" w:rsidRPr="006B4F7D" w:rsidRDefault="00D03B65" w:rsidP="48E190E8">
      <w:pPr>
        <w:spacing w:after="0" w:line="240" w:lineRule="auto"/>
        <w:jc w:val="center"/>
        <w:rPr>
          <w:rFonts w:ascii="Times New Roman" w:hAnsi="Times New Roman" w:cs="Times New Roman"/>
          <w:b/>
          <w:bCs/>
          <w:sz w:val="24"/>
          <w:szCs w:val="24"/>
        </w:rPr>
      </w:pPr>
      <w:r w:rsidRPr="48E190E8">
        <w:rPr>
          <w:rFonts w:ascii="Times New Roman" w:hAnsi="Times New Roman" w:cs="Times New Roman"/>
          <w:b/>
          <w:bCs/>
          <w:sz w:val="24"/>
          <w:szCs w:val="24"/>
        </w:rPr>
        <w:t>IN THE GENERAL SESSIONS COURT OF [</w:t>
      </w:r>
      <w:r w:rsidRPr="48E190E8">
        <w:rPr>
          <w:rFonts w:ascii="Times New Roman" w:hAnsi="Times New Roman" w:cs="Times New Roman"/>
          <w:b/>
          <w:bCs/>
          <w:sz w:val="24"/>
          <w:szCs w:val="24"/>
          <w:highlight w:val="yellow"/>
        </w:rPr>
        <w:t>NAME</w:t>
      </w:r>
      <w:r w:rsidRPr="48E190E8">
        <w:rPr>
          <w:rFonts w:ascii="Times New Roman" w:hAnsi="Times New Roman" w:cs="Times New Roman"/>
          <w:b/>
          <w:bCs/>
          <w:sz w:val="24"/>
          <w:szCs w:val="24"/>
        </w:rPr>
        <w:t>] COUNTY, TENNESSEE</w:t>
      </w:r>
    </w:p>
    <w:p w14:paraId="3DB30FF6" w14:textId="77777777" w:rsidR="00D03B65" w:rsidRPr="006B4F7D" w:rsidRDefault="00D03B65" w:rsidP="00D03B65">
      <w:pPr>
        <w:spacing w:after="0" w:line="240" w:lineRule="auto"/>
        <w:rPr>
          <w:rFonts w:ascii="Times New Roman" w:hAnsi="Times New Roman" w:cs="Times New Roman"/>
          <w:b/>
          <w:sz w:val="24"/>
          <w:szCs w:val="24"/>
        </w:rPr>
      </w:pPr>
    </w:p>
    <w:p w14:paraId="1978220B" w14:textId="77777777" w:rsidR="00D03B65" w:rsidRPr="006B4F7D" w:rsidRDefault="00D03B65" w:rsidP="00D03B65">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Pr="00A93BE2">
        <w:rPr>
          <w:rFonts w:ascii="Times New Roman" w:hAnsi="Times New Roman" w:cs="Times New Roman"/>
          <w:b/>
          <w:sz w:val="24"/>
          <w:szCs w:val="24"/>
          <w:highlight w:val="yellow"/>
        </w:rPr>
        <w:t>NAME</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B4F7D">
        <w:rPr>
          <w:rFonts w:ascii="Times New Roman" w:hAnsi="Times New Roman" w:cs="Times New Roman"/>
          <w:b/>
          <w:sz w:val="24"/>
          <w:szCs w:val="24"/>
        </w:rPr>
        <w:t>)</w:t>
      </w:r>
    </w:p>
    <w:p w14:paraId="30BEB306" w14:textId="77777777" w:rsidR="00D03B65" w:rsidRPr="006B4F7D" w:rsidRDefault="00D03B65" w:rsidP="00D03B65">
      <w:pPr>
        <w:spacing w:after="0" w:line="240" w:lineRule="auto"/>
        <w:rPr>
          <w:rFonts w:ascii="Times New Roman" w:hAnsi="Times New Roman" w:cs="Times New Roman"/>
          <w:b/>
          <w:sz w:val="24"/>
          <w:szCs w:val="24"/>
        </w:rPr>
      </w:pP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1EE6BB68" w14:textId="77777777" w:rsidR="00D03B65" w:rsidRPr="006B4F7D" w:rsidRDefault="00D03B65" w:rsidP="00D03B65">
      <w:pPr>
        <w:spacing w:after="0" w:line="240" w:lineRule="auto"/>
        <w:ind w:firstLine="720"/>
        <w:rPr>
          <w:rFonts w:ascii="Times New Roman" w:hAnsi="Times New Roman" w:cs="Times New Roman"/>
          <w:b/>
          <w:sz w:val="24"/>
          <w:szCs w:val="24"/>
        </w:rPr>
      </w:pPr>
      <w:r w:rsidRPr="006B4F7D">
        <w:rPr>
          <w:rFonts w:ascii="Times New Roman" w:hAnsi="Times New Roman" w:cs="Times New Roman"/>
          <w:b/>
          <w:sz w:val="24"/>
          <w:szCs w:val="24"/>
        </w:rPr>
        <w:t>P</w:t>
      </w:r>
      <w:r>
        <w:rPr>
          <w:rFonts w:ascii="Times New Roman" w:hAnsi="Times New Roman" w:cs="Times New Roman"/>
          <w:b/>
          <w:sz w:val="24"/>
          <w:szCs w:val="24"/>
        </w:rPr>
        <w:t>laintiff</w:t>
      </w:r>
      <w:r w:rsidRPr="006B4F7D">
        <w:rPr>
          <w:rFonts w:ascii="Times New Roman" w:hAnsi="Times New Roman" w:cs="Times New Roman"/>
          <w:b/>
          <w:sz w:val="24"/>
          <w:szCs w:val="24"/>
        </w:rPr>
        <w:t>,</w:t>
      </w:r>
      <w:r>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14B05089" w14:textId="77777777" w:rsidR="00D03B65" w:rsidRPr="006B4F7D" w:rsidRDefault="00D03B65" w:rsidP="00D03B65">
      <w:pPr>
        <w:spacing w:after="0" w:line="240" w:lineRule="auto"/>
        <w:rPr>
          <w:rFonts w:ascii="Times New Roman" w:hAnsi="Times New Roman" w:cs="Times New Roman"/>
          <w:b/>
          <w:sz w:val="24"/>
          <w:szCs w:val="24"/>
        </w:rPr>
      </w:pP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4B0E63BF" w14:textId="77777777" w:rsidR="00D03B65" w:rsidRPr="006B4F7D" w:rsidRDefault="00D03B65" w:rsidP="00D03B65">
      <w:pPr>
        <w:spacing w:after="0" w:line="240" w:lineRule="auto"/>
        <w:rPr>
          <w:rFonts w:ascii="Times New Roman" w:hAnsi="Times New Roman" w:cs="Times New Roman"/>
          <w:b/>
          <w:sz w:val="24"/>
          <w:szCs w:val="24"/>
        </w:rPr>
      </w:pPr>
      <w:r>
        <w:rPr>
          <w:rFonts w:ascii="Times New Roman" w:hAnsi="Times New Roman" w:cs="Times New Roman"/>
          <w:b/>
          <w:sz w:val="24"/>
          <w:szCs w:val="24"/>
        </w:rPr>
        <w:t>vs</w:t>
      </w:r>
      <w:r w:rsidRPr="006B4F7D">
        <w:rPr>
          <w:rFonts w:ascii="Times New Roman" w:hAnsi="Times New Roman" w:cs="Times New Roman"/>
          <w:b/>
          <w:sz w:val="24"/>
          <w:szCs w:val="24"/>
        </w:rPr>
        <w:t>.</w:t>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r w:rsidRPr="006B4F7D">
        <w:rPr>
          <w:rFonts w:ascii="Times New Roman" w:hAnsi="Times New Roman" w:cs="Times New Roman"/>
          <w:b/>
          <w:sz w:val="24"/>
          <w:szCs w:val="24"/>
        </w:rPr>
        <w:tab/>
        <w:t xml:space="preserve">NO. </w:t>
      </w:r>
      <w:r>
        <w:rPr>
          <w:rFonts w:ascii="Times New Roman" w:hAnsi="Times New Roman" w:cs="Times New Roman"/>
          <w:b/>
          <w:sz w:val="24"/>
          <w:szCs w:val="24"/>
        </w:rPr>
        <w:t>[</w:t>
      </w:r>
      <w:r w:rsidRPr="00A93BE2">
        <w:rPr>
          <w:rFonts w:ascii="Times New Roman" w:hAnsi="Times New Roman" w:cs="Times New Roman"/>
          <w:b/>
          <w:sz w:val="24"/>
          <w:szCs w:val="24"/>
          <w:highlight w:val="yellow"/>
        </w:rPr>
        <w:t>###</w:t>
      </w:r>
      <w:r>
        <w:rPr>
          <w:rFonts w:ascii="Times New Roman" w:hAnsi="Times New Roman" w:cs="Times New Roman"/>
          <w:b/>
          <w:sz w:val="24"/>
          <w:szCs w:val="24"/>
        </w:rPr>
        <w:t>]</w:t>
      </w:r>
    </w:p>
    <w:p w14:paraId="02157746" w14:textId="77777777" w:rsidR="00D03B65" w:rsidRPr="006B4F7D" w:rsidRDefault="00D03B65" w:rsidP="00D03B65">
      <w:pPr>
        <w:spacing w:after="0" w:line="240" w:lineRule="auto"/>
        <w:rPr>
          <w:rFonts w:ascii="Times New Roman" w:hAnsi="Times New Roman" w:cs="Times New Roman"/>
          <w:b/>
          <w:sz w:val="24"/>
          <w:szCs w:val="24"/>
        </w:rPr>
      </w:pP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0C8D6697" w14:textId="77777777" w:rsidR="00D03B65" w:rsidRPr="006B4F7D" w:rsidRDefault="00D03B65" w:rsidP="00D03B65">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Pr="00A93BE2">
        <w:rPr>
          <w:rFonts w:ascii="Times New Roman" w:hAnsi="Times New Roman" w:cs="Times New Roman"/>
          <w:b/>
          <w:sz w:val="24"/>
          <w:szCs w:val="24"/>
          <w:highlight w:val="yellow"/>
        </w:rPr>
        <w:t>NAME</w:t>
      </w:r>
      <w:r>
        <w:rPr>
          <w:rFonts w:ascii="Times New Roman" w:hAnsi="Times New Roman" w:cs="Times New Roman"/>
          <w:b/>
          <w:sz w:val="24"/>
          <w:szCs w:val="24"/>
        </w:rPr>
        <w:t>]</w:t>
      </w:r>
      <w:r w:rsidRPr="006B4F7D">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B4F7D">
        <w:rPr>
          <w:rFonts w:ascii="Times New Roman" w:hAnsi="Times New Roman" w:cs="Times New Roman"/>
          <w:b/>
          <w:sz w:val="24"/>
          <w:szCs w:val="24"/>
        </w:rPr>
        <w:tab/>
        <w:t>)</w:t>
      </w:r>
    </w:p>
    <w:p w14:paraId="27A55E24" w14:textId="77777777" w:rsidR="00D03B65" w:rsidRPr="006B4F7D" w:rsidRDefault="00D03B65" w:rsidP="00D03B65">
      <w:pPr>
        <w:spacing w:after="0" w:line="240" w:lineRule="auto"/>
        <w:rPr>
          <w:rFonts w:ascii="Times New Roman" w:hAnsi="Times New Roman" w:cs="Times New Roman"/>
          <w:b/>
          <w:sz w:val="24"/>
          <w:szCs w:val="24"/>
        </w:rPr>
      </w:pP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0E1946CA" w14:textId="77777777" w:rsidR="00D03B65" w:rsidRPr="006B4F7D" w:rsidRDefault="00D03B65" w:rsidP="00D03B65">
      <w:pPr>
        <w:spacing w:after="0" w:line="240" w:lineRule="auto"/>
        <w:rPr>
          <w:rFonts w:ascii="Times New Roman" w:hAnsi="Times New Roman" w:cs="Times New Roman"/>
          <w:b/>
          <w:sz w:val="24"/>
          <w:szCs w:val="24"/>
        </w:rPr>
      </w:pPr>
      <w:r w:rsidRPr="006B4F7D">
        <w:rPr>
          <w:rFonts w:ascii="Times New Roman" w:hAnsi="Times New Roman" w:cs="Times New Roman"/>
          <w:b/>
          <w:sz w:val="24"/>
          <w:szCs w:val="24"/>
        </w:rPr>
        <w:tab/>
      </w:r>
      <w:r>
        <w:rPr>
          <w:rFonts w:ascii="Times New Roman" w:hAnsi="Times New Roman" w:cs="Times New Roman"/>
          <w:b/>
          <w:sz w:val="24"/>
          <w:szCs w:val="24"/>
        </w:rPr>
        <w:t>Defendant</w:t>
      </w:r>
      <w:r w:rsidRPr="006B4F7D">
        <w:rPr>
          <w:rFonts w:ascii="Times New Roman" w:hAnsi="Times New Roman" w:cs="Times New Roman"/>
          <w:b/>
          <w:sz w:val="24"/>
          <w:szCs w:val="24"/>
        </w:rPr>
        <w:t>.</w:t>
      </w:r>
      <w:r>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r>
      <w:r w:rsidRPr="006B4F7D">
        <w:rPr>
          <w:rFonts w:ascii="Times New Roman" w:hAnsi="Times New Roman" w:cs="Times New Roman"/>
          <w:b/>
          <w:sz w:val="24"/>
          <w:szCs w:val="24"/>
        </w:rPr>
        <w:tab/>
        <w:t>)</w:t>
      </w:r>
    </w:p>
    <w:p w14:paraId="7ABD750E" w14:textId="77777777" w:rsidR="00D03B65" w:rsidRPr="006B4F7D" w:rsidRDefault="00D03B65" w:rsidP="00D03B65">
      <w:pPr>
        <w:spacing w:after="0" w:line="240" w:lineRule="auto"/>
        <w:rPr>
          <w:rFonts w:ascii="Times New Roman" w:hAnsi="Times New Roman" w:cs="Times New Roman"/>
          <w:b/>
          <w:sz w:val="24"/>
          <w:szCs w:val="24"/>
          <w:u w:val="single"/>
        </w:rPr>
      </w:pPr>
      <w:r w:rsidRPr="006B4F7D">
        <w:rPr>
          <w:rFonts w:ascii="Times New Roman" w:hAnsi="Times New Roman" w:cs="Times New Roman"/>
          <w:b/>
          <w:sz w:val="24"/>
          <w:szCs w:val="24"/>
          <w:u w:val="single"/>
        </w:rPr>
        <w:t>______________________________________________________________________________</w:t>
      </w:r>
    </w:p>
    <w:p w14:paraId="51408F16" w14:textId="77777777" w:rsidR="00D03B65" w:rsidRPr="006B4F7D" w:rsidRDefault="00D03B65" w:rsidP="00D03B65">
      <w:pPr>
        <w:spacing w:after="0" w:line="240" w:lineRule="auto"/>
        <w:rPr>
          <w:rFonts w:ascii="Times New Roman" w:hAnsi="Times New Roman" w:cs="Times New Roman"/>
          <w:sz w:val="24"/>
          <w:szCs w:val="24"/>
        </w:rPr>
      </w:pPr>
    </w:p>
    <w:p w14:paraId="34BE1DED" w14:textId="77777777" w:rsidR="00D03B65" w:rsidRPr="006B4F7D" w:rsidRDefault="00D03B65" w:rsidP="00D03B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ANSWER</w:t>
      </w:r>
      <w:r w:rsidRPr="006B4F7D">
        <w:rPr>
          <w:rFonts w:ascii="Times New Roman" w:hAnsi="Times New Roman" w:cs="Times New Roman"/>
          <w:b/>
          <w:sz w:val="24"/>
          <w:szCs w:val="24"/>
        </w:rPr>
        <w:t xml:space="preserve"> AND </w:t>
      </w:r>
      <w:commentRangeStart w:id="0"/>
      <w:r w:rsidRPr="006B4F7D">
        <w:rPr>
          <w:rFonts w:ascii="Times New Roman" w:hAnsi="Times New Roman" w:cs="Times New Roman"/>
          <w:b/>
          <w:sz w:val="24"/>
          <w:szCs w:val="24"/>
        </w:rPr>
        <w:t>COUNTERCLAIM</w:t>
      </w:r>
      <w:commentRangeEnd w:id="0"/>
      <w:r w:rsidRPr="006B4F7D">
        <w:rPr>
          <w:rStyle w:val="CommentReference"/>
          <w:rFonts w:ascii="Times New Roman" w:hAnsi="Times New Roman" w:cs="Times New Roman"/>
          <w:b/>
          <w:sz w:val="24"/>
          <w:szCs w:val="24"/>
        </w:rPr>
        <w:commentReference w:id="0"/>
      </w:r>
    </w:p>
    <w:p w14:paraId="7C8EEC41" w14:textId="77777777" w:rsidR="00D03B65" w:rsidRPr="006B4F7D" w:rsidRDefault="00D03B65" w:rsidP="00D03B65">
      <w:pPr>
        <w:spacing w:after="0" w:line="240" w:lineRule="auto"/>
        <w:rPr>
          <w:rFonts w:ascii="Times New Roman" w:hAnsi="Times New Roman" w:cs="Times New Roman"/>
          <w:b/>
          <w:sz w:val="24"/>
          <w:szCs w:val="24"/>
          <w:u w:val="single"/>
        </w:rPr>
      </w:pPr>
      <w:r w:rsidRPr="006B4F7D">
        <w:rPr>
          <w:rFonts w:ascii="Times New Roman" w:hAnsi="Times New Roman" w:cs="Times New Roman"/>
          <w:b/>
          <w:sz w:val="24"/>
          <w:szCs w:val="24"/>
          <w:u w:val="single"/>
        </w:rPr>
        <w:t>______________________________________________________________________________</w:t>
      </w:r>
    </w:p>
    <w:p w14:paraId="120A6DAE" w14:textId="77777777" w:rsidR="00D03B65" w:rsidRPr="006B4F7D" w:rsidRDefault="00D03B65" w:rsidP="00D03B65">
      <w:pPr>
        <w:spacing w:after="0" w:line="240" w:lineRule="auto"/>
        <w:rPr>
          <w:rFonts w:ascii="Times New Roman" w:hAnsi="Times New Roman" w:cs="Times New Roman"/>
          <w:sz w:val="24"/>
          <w:szCs w:val="24"/>
        </w:rPr>
      </w:pPr>
    </w:p>
    <w:p w14:paraId="351E6DA0" w14:textId="77777777" w:rsidR="00D03B65" w:rsidRPr="006B4F7D" w:rsidRDefault="00D03B65" w:rsidP="00D03B65">
      <w:pPr>
        <w:pStyle w:val="Heading1"/>
      </w:pPr>
      <w:r w:rsidRPr="006B4F7D">
        <w:t>ANSWER</w:t>
      </w:r>
    </w:p>
    <w:p w14:paraId="6B605C8D" w14:textId="1F01568F" w:rsidR="00D03B65" w:rsidRDefault="00D03B65" w:rsidP="00D03B65">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Plaintiff [</w:t>
      </w:r>
      <w:r w:rsidRPr="00A93BE2">
        <w:rPr>
          <w:rFonts w:ascii="Times New Roman" w:hAnsi="Times New Roman" w:cs="Times New Roman"/>
          <w:sz w:val="24"/>
          <w:szCs w:val="24"/>
          <w:highlight w:val="yellow"/>
        </w:rPr>
        <w:t>Name</w:t>
      </w:r>
      <w:r>
        <w:rPr>
          <w:rFonts w:ascii="Times New Roman" w:hAnsi="Times New Roman" w:cs="Times New Roman"/>
          <w:sz w:val="24"/>
          <w:szCs w:val="24"/>
        </w:rPr>
        <w:t>]</w:t>
      </w:r>
      <w:r w:rsidRPr="006B4F7D">
        <w:rPr>
          <w:rFonts w:ascii="Times New Roman" w:hAnsi="Times New Roman" w:cs="Times New Roman"/>
          <w:sz w:val="24"/>
          <w:szCs w:val="24"/>
        </w:rPr>
        <w:t xml:space="preserve"> filed a detainer warrant against </w:t>
      </w:r>
      <w:r>
        <w:rPr>
          <w:rFonts w:ascii="Times New Roman" w:hAnsi="Times New Roman" w:cs="Times New Roman"/>
          <w:sz w:val="24"/>
          <w:szCs w:val="24"/>
        </w:rPr>
        <w:t>Defendant [</w:t>
      </w:r>
      <w:r w:rsidRPr="00A93BE2">
        <w:rPr>
          <w:rFonts w:ascii="Times New Roman" w:hAnsi="Times New Roman" w:cs="Times New Roman"/>
          <w:sz w:val="24"/>
          <w:szCs w:val="24"/>
          <w:highlight w:val="yellow"/>
        </w:rPr>
        <w:t>Name</w:t>
      </w:r>
      <w:r>
        <w:rPr>
          <w:rFonts w:ascii="Times New Roman" w:hAnsi="Times New Roman" w:cs="Times New Roman"/>
          <w:sz w:val="24"/>
          <w:szCs w:val="24"/>
        </w:rPr>
        <w:t>]</w:t>
      </w:r>
      <w:r w:rsidR="00B27F41">
        <w:rPr>
          <w:rFonts w:ascii="Times New Roman" w:hAnsi="Times New Roman" w:cs="Times New Roman"/>
          <w:sz w:val="24"/>
          <w:szCs w:val="24"/>
        </w:rPr>
        <w:t xml:space="preserve"> </w:t>
      </w:r>
      <w:r w:rsidRPr="006B4F7D">
        <w:rPr>
          <w:rFonts w:ascii="Times New Roman" w:hAnsi="Times New Roman" w:cs="Times New Roman"/>
          <w:sz w:val="24"/>
          <w:szCs w:val="24"/>
        </w:rPr>
        <w:t xml:space="preserve">on </w:t>
      </w:r>
      <w:r>
        <w:rPr>
          <w:rFonts w:ascii="Times New Roman" w:hAnsi="Times New Roman" w:cs="Times New Roman"/>
          <w:sz w:val="24"/>
          <w:szCs w:val="24"/>
        </w:rPr>
        <w:t>[</w:t>
      </w:r>
      <w:r w:rsidRPr="00A93BE2">
        <w:rPr>
          <w:rFonts w:ascii="Times New Roman" w:hAnsi="Times New Roman" w:cs="Times New Roman"/>
          <w:sz w:val="24"/>
          <w:szCs w:val="24"/>
          <w:highlight w:val="yellow"/>
        </w:rPr>
        <w:t>date</w:t>
      </w:r>
      <w:r>
        <w:rPr>
          <w:rFonts w:ascii="Times New Roman" w:hAnsi="Times New Roman" w:cs="Times New Roman"/>
          <w:sz w:val="24"/>
          <w:szCs w:val="24"/>
        </w:rPr>
        <w:t>]</w:t>
      </w:r>
      <w:r w:rsidRPr="006B4F7D">
        <w:rPr>
          <w:rFonts w:ascii="Times New Roman" w:hAnsi="Times New Roman" w:cs="Times New Roman"/>
          <w:sz w:val="24"/>
          <w:szCs w:val="24"/>
        </w:rPr>
        <w:t>, seeking possession</w:t>
      </w:r>
      <w:r>
        <w:rPr>
          <w:rFonts w:ascii="Times New Roman" w:hAnsi="Times New Roman" w:cs="Times New Roman"/>
          <w:sz w:val="24"/>
          <w:szCs w:val="24"/>
        </w:rPr>
        <w:t xml:space="preserve"> and </w:t>
      </w:r>
      <w:r w:rsidRPr="00A93BE2">
        <w:rPr>
          <w:rFonts w:ascii="Times New Roman" w:hAnsi="Times New Roman" w:cs="Times New Roman"/>
          <w:sz w:val="24"/>
          <w:szCs w:val="24"/>
          <w:highlight w:val="yellow"/>
        </w:rPr>
        <w:t>$[###]</w:t>
      </w:r>
      <w:r>
        <w:rPr>
          <w:rFonts w:ascii="Times New Roman" w:hAnsi="Times New Roman" w:cs="Times New Roman"/>
          <w:sz w:val="24"/>
          <w:szCs w:val="24"/>
        </w:rPr>
        <w:t xml:space="preserve"> in rent and related costs. </w:t>
      </w:r>
    </w:p>
    <w:p w14:paraId="6ACB8DB9" w14:textId="77777777" w:rsidR="00D03B65" w:rsidRDefault="00D03B65" w:rsidP="00D03B65">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Defendant</w:t>
      </w:r>
      <w:r w:rsidRPr="006B4F7D">
        <w:rPr>
          <w:rFonts w:ascii="Times New Roman" w:hAnsi="Times New Roman" w:cs="Times New Roman"/>
          <w:sz w:val="24"/>
          <w:szCs w:val="24"/>
        </w:rPr>
        <w:t xml:space="preserve"> </w:t>
      </w:r>
      <w:r>
        <w:rPr>
          <w:rFonts w:ascii="Times New Roman" w:hAnsi="Times New Roman" w:cs="Times New Roman"/>
          <w:sz w:val="24"/>
          <w:szCs w:val="24"/>
        </w:rPr>
        <w:t>denies</w:t>
      </w:r>
      <w:r w:rsidRPr="006B4F7D">
        <w:rPr>
          <w:rFonts w:ascii="Times New Roman" w:hAnsi="Times New Roman" w:cs="Times New Roman"/>
          <w:sz w:val="24"/>
          <w:szCs w:val="24"/>
        </w:rPr>
        <w:t xml:space="preserve"> all allegations in the detainer warrant</w:t>
      </w:r>
      <w:r>
        <w:rPr>
          <w:rFonts w:ascii="Times New Roman" w:hAnsi="Times New Roman" w:cs="Times New Roman"/>
          <w:sz w:val="24"/>
          <w:szCs w:val="24"/>
        </w:rPr>
        <w:t xml:space="preserve">. </w:t>
      </w:r>
      <w:r w:rsidRPr="006B4F7D">
        <w:rPr>
          <w:rFonts w:ascii="Times New Roman" w:hAnsi="Times New Roman" w:cs="Times New Roman"/>
          <w:sz w:val="24"/>
          <w:szCs w:val="24"/>
        </w:rPr>
        <w:t xml:space="preserve"> </w:t>
      </w:r>
    </w:p>
    <w:p w14:paraId="7F182A6C" w14:textId="77777777" w:rsidR="00972BFE" w:rsidRDefault="00972BFE" w:rsidP="00972BFE">
      <w:pPr>
        <w:pStyle w:val="NoSpacing"/>
        <w:numPr>
          <w:ilvl w:val="0"/>
          <w:numId w:val="0"/>
        </w:numPr>
        <w:ind w:firstLine="720"/>
        <w:rPr>
          <w:b/>
        </w:rPr>
      </w:pPr>
    </w:p>
    <w:p w14:paraId="00458F07" w14:textId="6CB2995B" w:rsidR="00972BFE" w:rsidRPr="006B4F7D" w:rsidRDefault="00972BFE" w:rsidP="00972BFE">
      <w:pPr>
        <w:pStyle w:val="NoSpacing"/>
        <w:numPr>
          <w:ilvl w:val="0"/>
          <w:numId w:val="0"/>
        </w:numPr>
        <w:ind w:firstLine="720"/>
        <w:rPr>
          <w:b/>
          <w:u w:val="single"/>
        </w:rPr>
      </w:pPr>
      <w:r>
        <w:rPr>
          <w:bCs/>
        </w:rPr>
        <w:t>[</w:t>
      </w:r>
      <w:r w:rsidRPr="00972BFE">
        <w:rPr>
          <w:bCs/>
          <w:highlight w:val="yellow"/>
        </w:rPr>
        <w:t>Include this paragraph only if we have counterclaims. If this is just an Answer, delete this paragraph.</w:t>
      </w:r>
      <w:r>
        <w:rPr>
          <w:bCs/>
        </w:rPr>
        <w:t xml:space="preserve">] </w:t>
      </w:r>
      <w:r w:rsidRPr="00176C5F">
        <w:rPr>
          <w:b/>
        </w:rPr>
        <w:t xml:space="preserve">Now having fully answered </w:t>
      </w:r>
      <w:r w:rsidRPr="00176C5F">
        <w:t>Plaintiff</w:t>
      </w:r>
      <w:r>
        <w:t>’s</w:t>
      </w:r>
      <w:r w:rsidRPr="00176C5F">
        <w:t xml:space="preserve"> </w:t>
      </w:r>
      <w:r>
        <w:t>Detainer</w:t>
      </w:r>
      <w:r w:rsidRPr="00176C5F">
        <w:t xml:space="preserve"> Warrant, Defendant now take</w:t>
      </w:r>
      <w:r>
        <w:t>s</w:t>
      </w:r>
      <w:r w:rsidRPr="00176C5F">
        <w:t xml:space="preserve"> the position of Counter-Plaintiff</w:t>
      </w:r>
      <w:r>
        <w:t xml:space="preserve"> (the parties shall continue to be referred to as above)</w:t>
      </w:r>
      <w:r w:rsidRPr="00176C5F">
        <w:t xml:space="preserve"> and state</w:t>
      </w:r>
      <w:r>
        <w:t>s</w:t>
      </w:r>
      <w:r w:rsidRPr="00176C5F">
        <w:t xml:space="preserve"> the following:</w:t>
      </w:r>
    </w:p>
    <w:p w14:paraId="1E08DFD4" w14:textId="77777777" w:rsidR="00D03B65" w:rsidRPr="006B4F7D" w:rsidRDefault="00D03B65" w:rsidP="00D03B65">
      <w:pPr>
        <w:pStyle w:val="Heading1"/>
      </w:pPr>
      <w:r w:rsidRPr="006B4F7D">
        <w:t>Parties</w:t>
      </w:r>
    </w:p>
    <w:p w14:paraId="557F97F7" w14:textId="602A5616" w:rsidR="00D03B65" w:rsidRPr="006B4F7D" w:rsidRDefault="00D03B65" w:rsidP="00D03B65">
      <w:pPr>
        <w:pStyle w:val="ListParagraph"/>
        <w:numPr>
          <w:ilvl w:val="0"/>
          <w:numId w:val="1"/>
        </w:numPr>
        <w:spacing w:after="0" w:line="480" w:lineRule="auto"/>
        <w:rPr>
          <w:rFonts w:ascii="Times New Roman" w:hAnsi="Times New Roman" w:cs="Times New Roman"/>
          <w:sz w:val="24"/>
          <w:szCs w:val="24"/>
        </w:rPr>
      </w:pPr>
      <w:r w:rsidRPr="006B4F7D">
        <w:rPr>
          <w:rFonts w:ascii="Times New Roman" w:hAnsi="Times New Roman" w:cs="Times New Roman"/>
          <w:sz w:val="24"/>
          <w:szCs w:val="24"/>
        </w:rPr>
        <w:t>Plaintiff</w:t>
      </w:r>
      <w:r>
        <w:rPr>
          <w:rFonts w:ascii="Times New Roman" w:hAnsi="Times New Roman" w:cs="Times New Roman"/>
          <w:sz w:val="24"/>
          <w:szCs w:val="24"/>
        </w:rPr>
        <w:t xml:space="preserve"> resides in [</w:t>
      </w:r>
      <w:r w:rsidRPr="00E124AE">
        <w:rPr>
          <w:rFonts w:ascii="Times New Roman" w:hAnsi="Times New Roman" w:cs="Times New Roman"/>
          <w:sz w:val="24"/>
          <w:szCs w:val="24"/>
          <w:highlight w:val="yellow"/>
        </w:rPr>
        <w:t>city/county</w:t>
      </w:r>
      <w:r>
        <w:rPr>
          <w:rFonts w:ascii="Times New Roman" w:hAnsi="Times New Roman" w:cs="Times New Roman"/>
          <w:sz w:val="24"/>
          <w:szCs w:val="24"/>
        </w:rPr>
        <w:t>], Tennessee.</w:t>
      </w:r>
      <w:r w:rsidRPr="006B4F7D">
        <w:rPr>
          <w:rFonts w:ascii="Times New Roman" w:hAnsi="Times New Roman" w:cs="Times New Roman"/>
          <w:sz w:val="24"/>
          <w:szCs w:val="24"/>
        </w:rPr>
        <w:t xml:space="preserve"> </w:t>
      </w:r>
    </w:p>
    <w:p w14:paraId="1AF5B14E" w14:textId="1E5D9902" w:rsidR="00D03B65" w:rsidRPr="006B4F7D" w:rsidRDefault="00D03B65" w:rsidP="00D03B65">
      <w:pPr>
        <w:pStyle w:val="ListParagraph"/>
        <w:numPr>
          <w:ilvl w:val="0"/>
          <w:numId w:val="1"/>
        </w:numPr>
        <w:spacing w:after="0" w:line="480" w:lineRule="auto"/>
        <w:rPr>
          <w:rFonts w:ascii="Times New Roman" w:hAnsi="Times New Roman" w:cs="Times New Roman"/>
          <w:sz w:val="24"/>
          <w:szCs w:val="24"/>
        </w:rPr>
      </w:pPr>
      <w:r w:rsidRPr="006B4F7D">
        <w:rPr>
          <w:rFonts w:ascii="Times New Roman" w:hAnsi="Times New Roman" w:cs="Times New Roman"/>
          <w:sz w:val="24"/>
          <w:szCs w:val="24"/>
        </w:rPr>
        <w:t>Defendant</w:t>
      </w:r>
      <w:r>
        <w:rPr>
          <w:rFonts w:ascii="Times New Roman" w:hAnsi="Times New Roman" w:cs="Times New Roman"/>
          <w:sz w:val="24"/>
          <w:szCs w:val="24"/>
        </w:rPr>
        <w:t xml:space="preserve"> resi</w:t>
      </w:r>
      <w:r w:rsidRPr="00FE5C08">
        <w:rPr>
          <w:rFonts w:ascii="Times New Roman" w:hAnsi="Times New Roman" w:cs="Times New Roman"/>
          <w:sz w:val="24"/>
          <w:szCs w:val="24"/>
        </w:rPr>
        <w:t xml:space="preserve">des </w:t>
      </w:r>
      <w:r>
        <w:rPr>
          <w:rFonts w:ascii="Times New Roman" w:hAnsi="Times New Roman" w:cs="Times New Roman"/>
          <w:sz w:val="24"/>
          <w:szCs w:val="24"/>
        </w:rPr>
        <w:t>in [</w:t>
      </w:r>
      <w:r w:rsidRPr="00E124AE">
        <w:rPr>
          <w:rFonts w:ascii="Times New Roman" w:hAnsi="Times New Roman" w:cs="Times New Roman"/>
          <w:sz w:val="24"/>
          <w:szCs w:val="24"/>
          <w:highlight w:val="yellow"/>
        </w:rPr>
        <w:t>city/county</w:t>
      </w:r>
      <w:r>
        <w:rPr>
          <w:rFonts w:ascii="Times New Roman" w:hAnsi="Times New Roman" w:cs="Times New Roman"/>
          <w:sz w:val="24"/>
          <w:szCs w:val="24"/>
        </w:rPr>
        <w:t xml:space="preserve">], </w:t>
      </w:r>
      <w:commentRangeStart w:id="1"/>
      <w:r>
        <w:rPr>
          <w:rFonts w:ascii="Times New Roman" w:hAnsi="Times New Roman" w:cs="Times New Roman"/>
          <w:sz w:val="24"/>
          <w:szCs w:val="24"/>
        </w:rPr>
        <w:t>Tennessee</w:t>
      </w:r>
      <w:commentRangeEnd w:id="1"/>
      <w:r>
        <w:rPr>
          <w:rStyle w:val="CommentReference"/>
          <w:rFonts w:ascii="Times New Roman" w:hAnsi="Times New Roman" w:cs="Times New Roman"/>
          <w:sz w:val="24"/>
          <w:szCs w:val="24"/>
        </w:rPr>
        <w:commentReference w:id="1"/>
      </w:r>
      <w:r>
        <w:rPr>
          <w:rFonts w:ascii="Times New Roman" w:hAnsi="Times New Roman" w:cs="Times New Roman"/>
          <w:sz w:val="24"/>
          <w:szCs w:val="24"/>
        </w:rPr>
        <w:t>.</w:t>
      </w:r>
    </w:p>
    <w:p w14:paraId="5E9FB741" w14:textId="77777777" w:rsidR="00D03B65" w:rsidRPr="006B4F7D" w:rsidRDefault="00D03B65" w:rsidP="00D03B65">
      <w:pPr>
        <w:pStyle w:val="Heading1"/>
      </w:pPr>
      <w:r w:rsidRPr="006B4F7D">
        <w:t>Jurisdiction</w:t>
      </w:r>
    </w:p>
    <w:p w14:paraId="3046221D" w14:textId="77777777" w:rsidR="00D03B65" w:rsidRPr="006B4F7D" w:rsidRDefault="00D03B65" w:rsidP="00D03B65">
      <w:pPr>
        <w:pStyle w:val="ListParagraph"/>
        <w:numPr>
          <w:ilvl w:val="0"/>
          <w:numId w:val="1"/>
        </w:numPr>
        <w:spacing w:after="0" w:line="480" w:lineRule="auto"/>
        <w:rPr>
          <w:rFonts w:ascii="Times New Roman" w:hAnsi="Times New Roman" w:cs="Times New Roman"/>
          <w:sz w:val="24"/>
          <w:szCs w:val="24"/>
        </w:rPr>
      </w:pPr>
      <w:r w:rsidRPr="006B4F7D">
        <w:rPr>
          <w:rFonts w:ascii="Times New Roman" w:hAnsi="Times New Roman" w:cs="Times New Roman"/>
          <w:sz w:val="24"/>
          <w:szCs w:val="24"/>
        </w:rPr>
        <w:t>This court has jurisdiction of this cause pursuant to T.C.A. § 16-15-501.</w:t>
      </w:r>
    </w:p>
    <w:p w14:paraId="0D9782C9" w14:textId="77777777" w:rsidR="00D03B65" w:rsidRPr="00A2000A" w:rsidRDefault="00D03B65" w:rsidP="00D03B65">
      <w:pPr>
        <w:pStyle w:val="Heading1"/>
      </w:pPr>
      <w:r>
        <w:lastRenderedPageBreak/>
        <w:t>Facts</w:t>
      </w:r>
    </w:p>
    <w:p w14:paraId="0881211B" w14:textId="538356C7" w:rsidR="00D03B65" w:rsidRPr="00A93BE2" w:rsidRDefault="00D03B65" w:rsidP="00D03B65">
      <w:pPr>
        <w:pStyle w:val="NoSpacing"/>
        <w:rPr>
          <w:highlight w:val="yellow"/>
        </w:rPr>
      </w:pPr>
      <w:r w:rsidRPr="00A93BE2">
        <w:rPr>
          <w:highlight w:val="yellow"/>
        </w:rPr>
        <w:t xml:space="preserve"> </w:t>
      </w:r>
      <w:commentRangeStart w:id="2"/>
      <w:r w:rsidRPr="00A93BE2">
        <w:rPr>
          <w:highlight w:val="yellow"/>
        </w:rPr>
        <w:t xml:space="preserve">On </w:t>
      </w:r>
      <w:commentRangeEnd w:id="2"/>
      <w:r w:rsidRPr="00A93BE2">
        <w:rPr>
          <w:rStyle w:val="CommentReference"/>
          <w:sz w:val="24"/>
          <w:szCs w:val="24"/>
          <w:highlight w:val="yellow"/>
        </w:rPr>
        <w:commentReference w:id="2"/>
      </w:r>
      <w:r w:rsidRPr="00A93BE2">
        <w:rPr>
          <w:highlight w:val="yellow"/>
        </w:rPr>
        <w:t xml:space="preserve">or around </w:t>
      </w:r>
      <w:r w:rsidR="00C93B59">
        <w:rPr>
          <w:highlight w:val="yellow"/>
        </w:rPr>
        <w:t>DATE</w:t>
      </w:r>
      <w:r w:rsidRPr="00A93BE2">
        <w:rPr>
          <w:highlight w:val="yellow"/>
        </w:rPr>
        <w:t xml:space="preserve">, Plaintiff entered into a lease for the apartment at </w:t>
      </w:r>
      <w:bookmarkStart w:id="3" w:name="_Hlk129600644"/>
      <w:r w:rsidR="00C93B59">
        <w:rPr>
          <w:highlight w:val="yellow"/>
        </w:rPr>
        <w:t>ADDRESS</w:t>
      </w:r>
      <w:r w:rsidRPr="00A93BE2" w:rsidDel="002E7B39">
        <w:rPr>
          <w:highlight w:val="yellow"/>
        </w:rPr>
        <w:t xml:space="preserve"> </w:t>
      </w:r>
      <w:bookmarkEnd w:id="3"/>
      <w:r w:rsidRPr="00A93BE2">
        <w:rPr>
          <w:highlight w:val="yellow"/>
        </w:rPr>
        <w:t xml:space="preserve">(“the unit”) with Defendant.  </w:t>
      </w:r>
    </w:p>
    <w:p w14:paraId="5CDFB23E" w14:textId="77777777" w:rsidR="00D03B65" w:rsidRDefault="00D03B65" w:rsidP="00D03B65">
      <w:pPr>
        <w:pStyle w:val="NoSpacing"/>
        <w:rPr>
          <w:highlight w:val="yellow"/>
        </w:rPr>
      </w:pPr>
      <w:r w:rsidRPr="00A93BE2">
        <w:rPr>
          <w:highlight w:val="yellow"/>
        </w:rPr>
        <w:t>Defendant has lived in the unit continuously since that date.</w:t>
      </w:r>
    </w:p>
    <w:p w14:paraId="7A484314" w14:textId="7943DA09" w:rsidR="00E30053" w:rsidRDefault="00E30053" w:rsidP="00D03B65">
      <w:pPr>
        <w:pStyle w:val="NoSpacing"/>
        <w:rPr>
          <w:highlight w:val="yellow"/>
        </w:rPr>
      </w:pPr>
      <w:r>
        <w:rPr>
          <w:highlight w:val="yellow"/>
        </w:rPr>
        <w:t>Defendant fell behind on rent around DATE because of SITUATION. Defendant discussing the likelihood of a late rent payment with Plaintiff and was told to pay when she could.</w:t>
      </w:r>
    </w:p>
    <w:p w14:paraId="01651981" w14:textId="712E62F4" w:rsidR="00E30053" w:rsidRDefault="00E30053" w:rsidP="00D03B65">
      <w:pPr>
        <w:pStyle w:val="NoSpacing"/>
        <w:rPr>
          <w:highlight w:val="yellow"/>
        </w:rPr>
      </w:pPr>
      <w:r>
        <w:rPr>
          <w:highlight w:val="yellow"/>
        </w:rPr>
        <w:t>Plaintiff then filed this detainer warrant on DATE without providing any notice to Plaintiff.</w:t>
      </w:r>
    </w:p>
    <w:p w14:paraId="7F0A1BB7" w14:textId="77777777" w:rsidR="00D03B65" w:rsidRPr="00A93BE2" w:rsidRDefault="00D03B65" w:rsidP="00D03B65">
      <w:pPr>
        <w:pStyle w:val="NoSpacing"/>
        <w:rPr>
          <w:highlight w:val="yellow"/>
        </w:rPr>
      </w:pPr>
      <w:r w:rsidRPr="00A93BE2">
        <w:rPr>
          <w:highlight w:val="yellow"/>
        </w:rPr>
        <w:t xml:space="preserve">Plaintiff has repeatedly charged Defendant excessive and improper late fees. </w:t>
      </w:r>
    </w:p>
    <w:p w14:paraId="41D6328B" w14:textId="1F9BA09B" w:rsidR="00D03B65" w:rsidRPr="00A93BE2" w:rsidRDefault="00A231D5" w:rsidP="00D03B65">
      <w:pPr>
        <w:pStyle w:val="NoSpacing"/>
        <w:rPr>
          <w:highlight w:val="yellow"/>
        </w:rPr>
      </w:pPr>
      <w:r>
        <w:rPr>
          <w:highlight w:val="yellow"/>
        </w:rPr>
        <w:t xml:space="preserve">For example, </w:t>
      </w:r>
      <w:r w:rsidR="00D03B65" w:rsidRPr="00A93BE2">
        <w:rPr>
          <w:highlight w:val="yellow"/>
        </w:rPr>
        <w:t xml:space="preserve">Plaintiff charges a </w:t>
      </w:r>
      <w:r>
        <w:rPr>
          <w:highlight w:val="yellow"/>
        </w:rPr>
        <w:t>$XXX</w:t>
      </w:r>
      <w:r w:rsidR="00D03B65" w:rsidRPr="00A93BE2">
        <w:rPr>
          <w:highlight w:val="yellow"/>
        </w:rPr>
        <w:t xml:space="preserve"> late fee for any payments received after the 1</w:t>
      </w:r>
      <w:r w:rsidR="00D03B65" w:rsidRPr="00A93BE2">
        <w:rPr>
          <w:highlight w:val="yellow"/>
          <w:vertAlign w:val="superscript"/>
        </w:rPr>
        <w:t>st</w:t>
      </w:r>
      <w:r w:rsidR="00D03B65" w:rsidRPr="00A93BE2">
        <w:rPr>
          <w:highlight w:val="yellow"/>
        </w:rPr>
        <w:t xml:space="preserve"> of the month. </w:t>
      </w:r>
      <w:r>
        <w:rPr>
          <w:highlight w:val="yellow"/>
        </w:rPr>
        <w:t>This late fee is approximately XX% of Defendant’s monthly rent.</w:t>
      </w:r>
    </w:p>
    <w:p w14:paraId="161F057D" w14:textId="77777777" w:rsidR="00D03B65" w:rsidRPr="00A93BE2" w:rsidRDefault="00D03B65" w:rsidP="00D03B65">
      <w:pPr>
        <w:pStyle w:val="NoSpacing"/>
        <w:rPr>
          <w:highlight w:val="yellow"/>
        </w:rPr>
      </w:pPr>
      <w:r w:rsidRPr="00A93BE2">
        <w:rPr>
          <w:highlight w:val="yellow"/>
        </w:rPr>
        <w:t xml:space="preserve">Throughout the period that Defendant has lived in the unit, Plaintiff has repeatedly failed to make repairs. </w:t>
      </w:r>
    </w:p>
    <w:p w14:paraId="22441EC2" w14:textId="4554DCD3" w:rsidR="00D03B65" w:rsidRPr="00E30053" w:rsidRDefault="00D03B65" w:rsidP="00A231D5">
      <w:pPr>
        <w:pStyle w:val="NoSpacing"/>
        <w:rPr>
          <w:highlight w:val="yellow"/>
        </w:rPr>
      </w:pPr>
      <w:r w:rsidRPr="00E30053">
        <w:rPr>
          <w:highlight w:val="yellow"/>
        </w:rPr>
        <w:t xml:space="preserve">For example, there is a hole in the ceiling and black mold under the kitchen sink. </w:t>
      </w:r>
    </w:p>
    <w:p w14:paraId="40AABC66" w14:textId="77777777" w:rsidR="00D03B65" w:rsidRPr="00A93BE2" w:rsidRDefault="00D03B65" w:rsidP="00D03B65">
      <w:pPr>
        <w:pStyle w:val="NoSpacing"/>
        <w:rPr>
          <w:highlight w:val="yellow"/>
        </w:rPr>
      </w:pPr>
      <w:r w:rsidRPr="00A93BE2">
        <w:rPr>
          <w:highlight w:val="yellow"/>
        </w:rPr>
        <w:t>Defendant has repeatedly requested that Plaintiff repair the unit. Plaintiff has not done so.</w:t>
      </w:r>
    </w:p>
    <w:p w14:paraId="71CA2A79" w14:textId="77777777" w:rsidR="00FE5C08" w:rsidRDefault="00FE5C08" w:rsidP="00FE5C08">
      <w:pPr>
        <w:pStyle w:val="Heading1"/>
      </w:pPr>
      <w:r w:rsidRPr="00812E3F">
        <w:t xml:space="preserve">Affirmative </w:t>
      </w:r>
      <w:commentRangeStart w:id="4"/>
      <w:r w:rsidRPr="00812E3F">
        <w:t>Defenses</w:t>
      </w:r>
      <w:commentRangeEnd w:id="4"/>
      <w:r w:rsidR="00A93BE2">
        <w:rPr>
          <w:rStyle w:val="CommentReference"/>
          <w:sz w:val="24"/>
          <w:szCs w:val="24"/>
        </w:rPr>
        <w:commentReference w:id="4"/>
      </w:r>
    </w:p>
    <w:p w14:paraId="039885BB" w14:textId="59529FEF" w:rsidR="00FE5C08" w:rsidRPr="00FE5C08" w:rsidRDefault="00FE5C08" w:rsidP="00FE5C08">
      <w:pPr>
        <w:pStyle w:val="NoSpacing"/>
        <w:contextualSpacing w:val="0"/>
        <w:rPr>
          <w:u w:val="single"/>
        </w:rPr>
      </w:pPr>
      <w:r>
        <w:t xml:space="preserve">Defendant is not in </w:t>
      </w:r>
      <w:r w:rsidR="00C00EBC">
        <w:t xml:space="preserve">material </w:t>
      </w:r>
      <w:r>
        <w:t>breach of the rental agreement.</w:t>
      </w:r>
    </w:p>
    <w:p w14:paraId="5B233C39" w14:textId="06598371" w:rsidR="00FE5C08" w:rsidRPr="00DB27E9" w:rsidRDefault="00FE5C08" w:rsidP="00FE5C08">
      <w:pPr>
        <w:pStyle w:val="NoSpacing"/>
        <w:contextualSpacing w:val="0"/>
        <w:rPr>
          <w:u w:val="single"/>
        </w:rPr>
      </w:pPr>
      <w:r>
        <w:t>Plaintiff has repeatedly accepted rent from Defendant “</w:t>
      </w:r>
      <w:r w:rsidRPr="00FE5C08">
        <w:t xml:space="preserve">without reservation and with knowledge of </w:t>
      </w:r>
      <w:r>
        <w:t>[an alleged]</w:t>
      </w:r>
      <w:r w:rsidRPr="00FE5C08">
        <w:t xml:space="preserve"> tenant default,</w:t>
      </w:r>
      <w:r>
        <w:t xml:space="preserve">” and so has waived </w:t>
      </w:r>
      <w:r w:rsidR="008575B3">
        <w:t>the</w:t>
      </w:r>
      <w:r>
        <w:t xml:space="preserve"> right to seek eviction for such and is</w:t>
      </w:r>
      <w:r w:rsidRPr="00FE5C08">
        <w:t xml:space="preserve"> </w:t>
      </w:r>
      <w:r>
        <w:t>“</w:t>
      </w:r>
      <w:r w:rsidRPr="00FE5C08">
        <w:t>estopped from terminating the rental agreement as to that breach.</w:t>
      </w:r>
      <w:r>
        <w:t>” T.C.A. § 66-28-508.</w:t>
      </w:r>
    </w:p>
    <w:p w14:paraId="5F81CDED" w14:textId="45C72E7E" w:rsidR="00DB27E9" w:rsidRPr="00F86909" w:rsidRDefault="00DB27E9" w:rsidP="00FE5C08">
      <w:pPr>
        <w:pStyle w:val="NoSpacing"/>
        <w:contextualSpacing w:val="0"/>
        <w:rPr>
          <w:u w:val="single"/>
        </w:rPr>
      </w:pPr>
      <w:r>
        <w:lastRenderedPageBreak/>
        <w:t>Plaintiff repeatedly accepted late payments from Defendant</w:t>
      </w:r>
      <w:r w:rsidR="00631CBE">
        <w:t xml:space="preserve"> and therefore established a course of dealing upon which Defendant was entitled to rely. </w:t>
      </w:r>
      <w:r w:rsidR="00631CBE">
        <w:rPr>
          <w:u w:val="single"/>
        </w:rPr>
        <w:t>See, e.g.</w:t>
      </w:r>
      <w:r w:rsidR="00631CBE">
        <w:t xml:space="preserve">, </w:t>
      </w:r>
      <w:r w:rsidR="00F36DB7" w:rsidRPr="00F36DB7">
        <w:rPr>
          <w:u w:val="single"/>
        </w:rPr>
        <w:t>Lively v. Drake</w:t>
      </w:r>
      <w:r w:rsidR="00F36DB7" w:rsidRPr="00F36DB7">
        <w:t>, 629 S.W.2d 900</w:t>
      </w:r>
      <w:r w:rsidR="00F36DB7">
        <w:t xml:space="preserve"> (Tenn. 1982). </w:t>
      </w:r>
    </w:p>
    <w:p w14:paraId="56E38C2A" w14:textId="057273FA" w:rsidR="00F86909" w:rsidRPr="009F1727" w:rsidRDefault="00F86909" w:rsidP="00FE5C08">
      <w:pPr>
        <w:pStyle w:val="NoSpacing"/>
        <w:contextualSpacing w:val="0"/>
        <w:rPr>
          <w:u w:val="single"/>
        </w:rPr>
      </w:pPr>
      <w:r>
        <w:t xml:space="preserve">Defendant was prejudiced by Plaintiff’s unreasonable delay in bringing this claim, and so the claim is barred by the doctrine of laches. </w:t>
      </w:r>
      <w:r w:rsidR="0096560D" w:rsidRPr="0096560D">
        <w:rPr>
          <w:u w:val="single"/>
        </w:rPr>
        <w:t>Dennis Joslin Co., LLC v. Johnson</w:t>
      </w:r>
      <w:r w:rsidR="0096560D" w:rsidRPr="0096560D">
        <w:t>, 138 S.W.3d 197, 200 (Tenn. Ct. App. 2003)</w:t>
      </w:r>
      <w:r w:rsidR="0096560D">
        <w:t>.</w:t>
      </w:r>
    </w:p>
    <w:p w14:paraId="62091E7E" w14:textId="17BD9CDA" w:rsidR="009F1727" w:rsidRDefault="009F1727" w:rsidP="009F1727">
      <w:pPr>
        <w:pStyle w:val="NoSpacing"/>
        <w:contextualSpacing w:val="0"/>
      </w:pPr>
      <w:r>
        <w:t>The alleged violation does not rise to the level of good cause to evict, as is required for a federally subsidized property to terminate a lease.</w:t>
      </w:r>
    </w:p>
    <w:p w14:paraId="6FFE842F" w14:textId="77777777" w:rsidR="008F4CF9" w:rsidRDefault="008F4CF9" w:rsidP="008F4CF9">
      <w:pPr>
        <w:pStyle w:val="NoSpacing"/>
        <w:contextualSpacing w:val="0"/>
      </w:pPr>
      <w:r>
        <w:t>Plaintiff did not abide by federal regulations governing subsidized properties.</w:t>
      </w:r>
    </w:p>
    <w:p w14:paraId="01749180" w14:textId="1BA060FA" w:rsidR="008F4CF9" w:rsidRDefault="008F4CF9" w:rsidP="008F4CF9">
      <w:pPr>
        <w:pStyle w:val="NoSpacing"/>
        <w:contextualSpacing w:val="0"/>
      </w:pPr>
      <w:r>
        <w:t xml:space="preserve">Plaintiff did not provide the 30-day notice required by the CARES Act, </w:t>
      </w:r>
      <w:r w:rsidRPr="00BF0BEB">
        <w:t>15 U.S.C. §</w:t>
      </w:r>
      <w:r>
        <w:t> </w:t>
      </w:r>
      <w:r w:rsidRPr="00BF0BEB">
        <w:t>9058(c)(2</w:t>
      </w:r>
      <w:r>
        <w:t xml:space="preserve">). </w:t>
      </w:r>
    </w:p>
    <w:p w14:paraId="42D1B214" w14:textId="0D2016DD" w:rsidR="007D58D8" w:rsidRDefault="007D58D8" w:rsidP="00FD2B36">
      <w:pPr>
        <w:pStyle w:val="NoSpacing"/>
      </w:pPr>
      <w:r>
        <w:t xml:space="preserve">Plaintiff did not provide the 30-day notice required by </w:t>
      </w:r>
      <w:r w:rsidR="00B20A1F">
        <w:t xml:space="preserve">federal </w:t>
      </w:r>
      <w:commentRangeStart w:id="5"/>
      <w:r w:rsidR="00B20A1F">
        <w:t>regulation</w:t>
      </w:r>
      <w:r w:rsidR="00302BB2">
        <w:t>s</w:t>
      </w:r>
      <w:commentRangeEnd w:id="5"/>
      <w:r w:rsidR="00562970">
        <w:rPr>
          <w:rStyle w:val="CommentReference"/>
          <w:sz w:val="24"/>
          <w:szCs w:val="24"/>
        </w:rPr>
        <w:commentReference w:id="5"/>
      </w:r>
      <w:r w:rsidR="00302BB2">
        <w:t>.</w:t>
      </w:r>
      <w:r w:rsidR="00351C48">
        <w:t xml:space="preserve"> </w:t>
      </w:r>
      <w:commentRangeStart w:id="6"/>
      <w:r w:rsidR="00351C48">
        <w:rPr>
          <w:u w:val="single"/>
        </w:rPr>
        <w:t>See</w:t>
      </w:r>
      <w:r w:rsidR="00351C48">
        <w:t xml:space="preserve"> </w:t>
      </w:r>
      <w:r w:rsidR="00FD2B36">
        <w:t>89 Fed. Reg. 101,270 (Dec. 13, 2024).</w:t>
      </w:r>
      <w:commentRangeEnd w:id="6"/>
      <w:r w:rsidR="00FD2B36">
        <w:rPr>
          <w:rStyle w:val="CommentReference"/>
          <w:sz w:val="24"/>
          <w:szCs w:val="24"/>
        </w:rPr>
        <w:commentReference w:id="6"/>
      </w:r>
      <w:r w:rsidR="00FD2B36">
        <w:t xml:space="preserve"> </w:t>
      </w:r>
    </w:p>
    <w:p w14:paraId="1CED39BB" w14:textId="36833B11" w:rsidR="007C66B3" w:rsidRDefault="007C66B3" w:rsidP="009F1727">
      <w:pPr>
        <w:pStyle w:val="NoSpacing"/>
        <w:contextualSpacing w:val="0"/>
      </w:pPr>
      <w:r>
        <w:t>Plaintiff failed to provide Defendant with the required notice and opportunity to cure.</w:t>
      </w:r>
    </w:p>
    <w:p w14:paraId="7D488E78" w14:textId="147573A9" w:rsidR="002060D0" w:rsidRDefault="002060D0" w:rsidP="009F1727">
      <w:pPr>
        <w:pStyle w:val="NoSpacing"/>
        <w:contextualSpacing w:val="0"/>
      </w:pPr>
      <w:r>
        <w:t>Plaintiff failed to mitigate damages.</w:t>
      </w:r>
    </w:p>
    <w:p w14:paraId="594CC6FC" w14:textId="6C8D1924" w:rsidR="006E5BE6" w:rsidRDefault="006E5BE6" w:rsidP="009F1727">
      <w:pPr>
        <w:pStyle w:val="NoSpacing"/>
        <w:contextualSpacing w:val="0"/>
      </w:pPr>
      <w:r>
        <w:t>Plaintiff filed the detainer warrant prematurely.</w:t>
      </w:r>
    </w:p>
    <w:p w14:paraId="3564578C" w14:textId="26FA77DF" w:rsidR="006E5BE6" w:rsidRDefault="006E5BE6" w:rsidP="009F1727">
      <w:pPr>
        <w:pStyle w:val="NoSpacing"/>
        <w:contextualSpacing w:val="0"/>
      </w:pPr>
      <w:r>
        <w:t>Plaintiff lacks standing to file the detainer warrant.</w:t>
      </w:r>
    </w:p>
    <w:p w14:paraId="31E16C78" w14:textId="5B65B10B" w:rsidR="002060D0" w:rsidRPr="009F1727" w:rsidRDefault="00C81A8C" w:rsidP="002060D0">
      <w:pPr>
        <w:pStyle w:val="NoSpacing"/>
        <w:contextualSpacing w:val="0"/>
      </w:pPr>
      <w:r>
        <w:t>Defendant reserves the right to assert additional affirmative defenses and does not waive any available defenses.</w:t>
      </w:r>
    </w:p>
    <w:p w14:paraId="0B5AA10E" w14:textId="77777777" w:rsidR="00202A9C" w:rsidRPr="001A4D7C" w:rsidRDefault="00202A9C" w:rsidP="00BA64DB">
      <w:pPr>
        <w:pStyle w:val="Heading1"/>
      </w:pPr>
      <w:commentRangeStart w:id="7"/>
      <w:r w:rsidRPr="001A4D7C">
        <w:t>COUNTERCLAIM</w:t>
      </w:r>
      <w:commentRangeEnd w:id="7"/>
      <w:r w:rsidR="00C81A8C" w:rsidRPr="001A4D7C">
        <w:rPr>
          <w:rStyle w:val="CommentReference"/>
          <w:sz w:val="24"/>
          <w:szCs w:val="24"/>
        </w:rPr>
        <w:commentReference w:id="7"/>
      </w:r>
    </w:p>
    <w:p w14:paraId="117A05E3" w14:textId="65A3496B" w:rsidR="00202A9C" w:rsidRPr="00243729" w:rsidRDefault="00202A9C" w:rsidP="00243729">
      <w:pPr>
        <w:pStyle w:val="Heading2"/>
      </w:pPr>
      <w:r w:rsidRPr="00243729">
        <w:t xml:space="preserve">Count </w:t>
      </w:r>
      <w:r w:rsidR="00682E88">
        <w:t>[</w:t>
      </w:r>
      <w:r w:rsidR="00682E88" w:rsidRPr="00682E88">
        <w:rPr>
          <w:highlight w:val="yellow"/>
        </w:rPr>
        <w:t>#</w:t>
      </w:r>
      <w:r w:rsidR="00682E88">
        <w:t>]</w:t>
      </w:r>
      <w:r w:rsidRPr="00243729">
        <w:t xml:space="preserve">: </w:t>
      </w:r>
      <w:r w:rsidR="00EC02DE" w:rsidRPr="00243729">
        <w:t>Unlawful &amp; Excessive</w:t>
      </w:r>
      <w:r w:rsidR="00FE5C08" w:rsidRPr="00243729">
        <w:t xml:space="preserve"> Late Fees (T.C.A. </w:t>
      </w:r>
      <w:r w:rsidR="000A580A" w:rsidRPr="00243729">
        <w:t>§</w:t>
      </w:r>
      <w:r w:rsidR="00FE5C08" w:rsidRPr="00243729">
        <w:t>§ </w:t>
      </w:r>
      <w:r w:rsidR="00EC02DE" w:rsidRPr="00243729">
        <w:t>66-28-201</w:t>
      </w:r>
      <w:r w:rsidR="000A580A" w:rsidRPr="00243729">
        <w:t>, -502</w:t>
      </w:r>
      <w:r w:rsidR="00EC02DE" w:rsidRPr="00243729">
        <w:t>)</w:t>
      </w:r>
    </w:p>
    <w:p w14:paraId="114095AE" w14:textId="74C23670" w:rsidR="00202A9C" w:rsidRDefault="00EC02DE" w:rsidP="00202A9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Plaintiff charged Defendant late fees before the five-day grace period mandated in T.C.A. § 66-28-201 expired.</w:t>
      </w:r>
    </w:p>
    <w:p w14:paraId="59AF5761" w14:textId="152EADF4" w:rsidR="00EC02DE" w:rsidRDefault="00EC02DE" w:rsidP="00202A9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Plaintiff charged Defendant late fees in excess of 10% of the amount of rent, in violation of T.C.A. § 66-28-201.</w:t>
      </w:r>
    </w:p>
    <w:p w14:paraId="3AD418D9" w14:textId="00537481" w:rsidR="000A580A" w:rsidRPr="006B4F7D" w:rsidRDefault="000A580A" w:rsidP="00202A9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Defendant may therefore recover damages and reasonable attorney’s fees. </w:t>
      </w:r>
      <w:r>
        <w:rPr>
          <w:rFonts w:ascii="Times New Roman" w:hAnsi="Times New Roman" w:cs="Times New Roman"/>
          <w:i/>
          <w:iCs/>
          <w:sz w:val="24"/>
          <w:szCs w:val="24"/>
        </w:rPr>
        <w:t xml:space="preserve">See </w:t>
      </w:r>
      <w:r>
        <w:rPr>
          <w:rFonts w:ascii="Times New Roman" w:hAnsi="Times New Roman" w:cs="Times New Roman"/>
          <w:sz w:val="24"/>
          <w:szCs w:val="24"/>
        </w:rPr>
        <w:t>T.C.A. § 66-28-502.</w:t>
      </w:r>
    </w:p>
    <w:p w14:paraId="75BB013C" w14:textId="715787FF" w:rsidR="00202A9C" w:rsidRDefault="00202A9C" w:rsidP="00243729">
      <w:pPr>
        <w:pStyle w:val="Heading2"/>
      </w:pPr>
      <w:r w:rsidRPr="006B4F7D">
        <w:t>Count</w:t>
      </w:r>
      <w:r w:rsidR="003234E1">
        <w:t xml:space="preserve"> </w:t>
      </w:r>
      <w:r w:rsidR="00682E88">
        <w:t>[</w:t>
      </w:r>
      <w:r w:rsidR="00682E88" w:rsidRPr="00682E88">
        <w:rPr>
          <w:highlight w:val="yellow"/>
        </w:rPr>
        <w:t>#</w:t>
      </w:r>
      <w:r w:rsidR="00682E88">
        <w:t>]</w:t>
      </w:r>
      <w:r w:rsidRPr="006B4F7D">
        <w:t xml:space="preserve">: </w:t>
      </w:r>
      <w:r w:rsidR="00EC02DE">
        <w:t xml:space="preserve">Failure to </w:t>
      </w:r>
      <w:r w:rsidR="00C966DE">
        <w:t>Make Repairs</w:t>
      </w:r>
      <w:r w:rsidR="00EC02DE">
        <w:t xml:space="preserve"> (T.C.A. §§ 66-28-304, -502)</w:t>
      </w:r>
    </w:p>
    <w:p w14:paraId="01A89042" w14:textId="7786C9B0" w:rsidR="00202A9C" w:rsidRDefault="00EC02DE" w:rsidP="00202A9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Plaintiff </w:t>
      </w:r>
      <w:r w:rsidR="000A580A">
        <w:rPr>
          <w:rFonts w:ascii="Times New Roman" w:hAnsi="Times New Roman" w:cs="Times New Roman"/>
          <w:sz w:val="24"/>
          <w:szCs w:val="24"/>
        </w:rPr>
        <w:t>did not “[m]</w:t>
      </w:r>
      <w:r w:rsidR="000A580A" w:rsidRPr="000A580A">
        <w:rPr>
          <w:rFonts w:ascii="Times New Roman" w:hAnsi="Times New Roman" w:cs="Times New Roman"/>
          <w:sz w:val="24"/>
          <w:szCs w:val="24"/>
        </w:rPr>
        <w:t>ake all repairs and do whatever is necessary to put and keep the premises in a fit and habitable condition</w:t>
      </w:r>
      <w:r w:rsidR="000A580A">
        <w:rPr>
          <w:rFonts w:ascii="Times New Roman" w:hAnsi="Times New Roman" w:cs="Times New Roman"/>
          <w:sz w:val="24"/>
          <w:szCs w:val="24"/>
        </w:rPr>
        <w:t>[.]” T.C.A. § 66-28-304.</w:t>
      </w:r>
    </w:p>
    <w:p w14:paraId="316D3946" w14:textId="7F073D51" w:rsidR="003576D2" w:rsidRDefault="003576D2" w:rsidP="003576D2">
      <w:pPr>
        <w:pStyle w:val="NoSpacing"/>
      </w:pPr>
      <w:r>
        <w:t>Plaintiff did not keep the common areas of the premises in a “clean and safe condition.” T.C.A</w:t>
      </w:r>
      <w:r w:rsidR="00A3695C">
        <w:t>.</w:t>
      </w:r>
      <w:r>
        <w:t xml:space="preserve"> </w:t>
      </w:r>
      <w:r w:rsidRPr="009C6C48">
        <w:t>§ 66-28-304</w:t>
      </w:r>
      <w:r>
        <w:t>(a)(3).</w:t>
      </w:r>
    </w:p>
    <w:p w14:paraId="5EF4A581" w14:textId="1D53090D" w:rsidR="001A7A7F" w:rsidRPr="003576D2" w:rsidRDefault="001A7A7F" w:rsidP="003576D2">
      <w:pPr>
        <w:pStyle w:val="NoSpacing"/>
      </w:pPr>
      <w:r>
        <w:t>As a direct and proximate result of Plaintiff’s failure to make necessary repairs, Defendant suffered damages.</w:t>
      </w:r>
    </w:p>
    <w:p w14:paraId="5EB55C12" w14:textId="10418514" w:rsidR="007D75DE" w:rsidRDefault="000A580A" w:rsidP="000A580A">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Defendant may therefore obtain injunctive relief and recover damages and reasonable attorney’s fees. </w:t>
      </w:r>
      <w:r>
        <w:rPr>
          <w:rFonts w:ascii="Times New Roman" w:hAnsi="Times New Roman" w:cs="Times New Roman"/>
          <w:i/>
          <w:iCs/>
          <w:sz w:val="24"/>
          <w:szCs w:val="24"/>
        </w:rPr>
        <w:t xml:space="preserve">See </w:t>
      </w:r>
      <w:r>
        <w:rPr>
          <w:rFonts w:ascii="Times New Roman" w:hAnsi="Times New Roman" w:cs="Times New Roman"/>
          <w:sz w:val="24"/>
          <w:szCs w:val="24"/>
        </w:rPr>
        <w:t>T.C.A. § 66-28-50</w:t>
      </w:r>
      <w:r w:rsidR="00154B85">
        <w:rPr>
          <w:rFonts w:ascii="Times New Roman" w:hAnsi="Times New Roman" w:cs="Times New Roman"/>
          <w:sz w:val="24"/>
          <w:szCs w:val="24"/>
        </w:rPr>
        <w:t>1</w:t>
      </w:r>
      <w:r>
        <w:rPr>
          <w:rFonts w:ascii="Times New Roman" w:hAnsi="Times New Roman" w:cs="Times New Roman"/>
          <w:sz w:val="24"/>
          <w:szCs w:val="24"/>
        </w:rPr>
        <w:t>.</w:t>
      </w:r>
    </w:p>
    <w:p w14:paraId="71C0F5F0" w14:textId="53FE72D5" w:rsidR="00243729" w:rsidRPr="00546209" w:rsidRDefault="00243729" w:rsidP="00243729">
      <w:pPr>
        <w:pStyle w:val="Heading2"/>
      </w:pPr>
      <w:r>
        <w:t xml:space="preserve">Count </w:t>
      </w:r>
      <w:r w:rsidR="00682E88">
        <w:t>[</w:t>
      </w:r>
      <w:r w:rsidR="00682E88" w:rsidRPr="00682E88">
        <w:rPr>
          <w:highlight w:val="yellow"/>
        </w:rPr>
        <w:t>#</w:t>
      </w:r>
      <w:r w:rsidR="00682E88">
        <w:t>]</w:t>
      </w:r>
      <w:r>
        <w:t xml:space="preserve">: Violation of Prohibition Against Unlawful Ouster (T.C.A. </w:t>
      </w:r>
      <w:r w:rsidRPr="000E6AD0">
        <w:t>§ 66-28-504)</w:t>
      </w:r>
      <w:r w:rsidRPr="002636DD">
        <w:t xml:space="preserve"> </w:t>
      </w:r>
    </w:p>
    <w:p w14:paraId="4C98780C" w14:textId="72699C25" w:rsidR="00243729" w:rsidRDefault="00243729" w:rsidP="00243729">
      <w:pPr>
        <w:pStyle w:val="NoSpacing"/>
      </w:pPr>
      <w:r>
        <w:t xml:space="preserve">A tenant has been subject to an unlawful ouster when a landlord “unlawfully removes or excludes the tenant from the premises or willfully diminishes service to the tenant by interrupting essential services.” T.C.A. </w:t>
      </w:r>
      <w:r w:rsidRPr="00243729">
        <w:t>§ 66-28-504.</w:t>
      </w:r>
      <w:r w:rsidR="00566DED">
        <w:t xml:space="preserve"> </w:t>
      </w:r>
    </w:p>
    <w:p w14:paraId="3789394A" w14:textId="4ED57F94" w:rsidR="00682E88" w:rsidRDefault="00682E88" w:rsidP="00243729">
      <w:pPr>
        <w:pStyle w:val="NoSpacing"/>
      </w:pPr>
      <w:r>
        <w:t xml:space="preserve">Plaintiff unlawfully displaced Defendant from the unit. </w:t>
      </w:r>
    </w:p>
    <w:p w14:paraId="558B5E38" w14:textId="6F717ECA" w:rsidR="001A7A7F" w:rsidRDefault="001A7A7F" w:rsidP="00243729">
      <w:pPr>
        <w:pStyle w:val="NoSpacing"/>
      </w:pPr>
      <w:r>
        <w:t>As a direct and proximate result of Plaintiff’s actions, Defendant suffered damages.</w:t>
      </w:r>
    </w:p>
    <w:p w14:paraId="42A734CA" w14:textId="4D87BBDC" w:rsidR="00243729" w:rsidRPr="00682E88" w:rsidRDefault="00243729" w:rsidP="00243729">
      <w:pPr>
        <w:pStyle w:val="NoSpacing"/>
      </w:pPr>
      <w:r>
        <w:t xml:space="preserve">Defendant is entitled to either recover possession or terminate the rental agreement, according to </w:t>
      </w:r>
      <w:r w:rsidR="00682E88">
        <w:t>Defendant’s</w:t>
      </w:r>
      <w:r>
        <w:t xml:space="preserve"> choice, and to recover actual and punitive damages, along with a reasonable attorney’s fee, from the Plaintiff. </w:t>
      </w:r>
      <w:r w:rsidR="00682E88">
        <w:rPr>
          <w:i/>
          <w:iCs/>
        </w:rPr>
        <w:t>Id.</w:t>
      </w:r>
    </w:p>
    <w:p w14:paraId="23A10E3D" w14:textId="7D654809" w:rsidR="00243729" w:rsidRPr="00546209" w:rsidRDefault="00243729" w:rsidP="00682E88">
      <w:pPr>
        <w:pStyle w:val="Heading2"/>
      </w:pPr>
      <w:r>
        <w:lastRenderedPageBreak/>
        <w:t xml:space="preserve">Count </w:t>
      </w:r>
      <w:r w:rsidR="00682E88">
        <w:t>[</w:t>
      </w:r>
      <w:r w:rsidR="00682E88" w:rsidRPr="00682E88">
        <w:rPr>
          <w:highlight w:val="yellow"/>
        </w:rPr>
        <w:t>#</w:t>
      </w:r>
      <w:r w:rsidR="00682E88">
        <w:t>]</w:t>
      </w:r>
      <w:r>
        <w:t>: Breach of Contract</w:t>
      </w:r>
    </w:p>
    <w:p w14:paraId="0596F78F" w14:textId="77777777" w:rsidR="00243729" w:rsidRDefault="00243729" w:rsidP="00243729">
      <w:pPr>
        <w:pStyle w:val="NoSpacing"/>
      </w:pPr>
      <w:r>
        <w:t>An implied covenant of quiet and peaceable possession and enjoyment of the leased premises exists in any lease.</w:t>
      </w:r>
    </w:p>
    <w:p w14:paraId="0BA3E186" w14:textId="679E1BAE" w:rsidR="00243729" w:rsidRDefault="00243729" w:rsidP="00243729">
      <w:pPr>
        <w:pStyle w:val="NoSpacing"/>
      </w:pPr>
      <w:r>
        <w:t xml:space="preserve">Plaintiff breached the lease by </w:t>
      </w:r>
      <w:r w:rsidR="00682E88">
        <w:t>[</w:t>
      </w:r>
      <w:r w:rsidR="00682E88" w:rsidRPr="00682E88">
        <w:rPr>
          <w:highlight w:val="yellow"/>
        </w:rPr>
        <w:t>describe breaches</w:t>
      </w:r>
      <w:r w:rsidR="00682E88">
        <w:t>]</w:t>
      </w:r>
      <w:r>
        <w:t>.</w:t>
      </w:r>
    </w:p>
    <w:p w14:paraId="54403805" w14:textId="4759C3E3" w:rsidR="00243729" w:rsidRDefault="00243729" w:rsidP="00243729">
      <w:pPr>
        <w:pStyle w:val="NoSpacing"/>
      </w:pPr>
      <w:r>
        <w:t>As a direct and proximate consequence of Plaintiff’s actions, Defendant suffered and continues to suffer damages and is entitled to compensation.</w:t>
      </w:r>
    </w:p>
    <w:p w14:paraId="311BB237" w14:textId="730DF340" w:rsidR="00D00BB0" w:rsidRPr="00A675C5" w:rsidRDefault="00D00BB0" w:rsidP="0039674B">
      <w:pPr>
        <w:pStyle w:val="Heading2"/>
        <w:spacing w:after="240" w:line="240" w:lineRule="auto"/>
      </w:pPr>
      <w:r w:rsidRPr="00174A88">
        <w:t xml:space="preserve">Count </w:t>
      </w:r>
      <w:r>
        <w:t>[</w:t>
      </w:r>
      <w:r w:rsidRPr="00682E88">
        <w:rPr>
          <w:highlight w:val="yellow"/>
        </w:rPr>
        <w:t>#</w:t>
      </w:r>
      <w:r>
        <w:t>]</w:t>
      </w:r>
      <w:r w:rsidRPr="00174A88">
        <w:t xml:space="preserve">: Violation of the </w:t>
      </w:r>
      <w:r>
        <w:t>Fair Housing</w:t>
      </w:r>
      <w:r w:rsidRPr="00174A88">
        <w:t xml:space="preserve"> </w:t>
      </w:r>
      <w:commentRangeStart w:id="8"/>
      <w:r w:rsidRPr="00174A88">
        <w:t xml:space="preserve">Act </w:t>
      </w:r>
      <w:commentRangeEnd w:id="8"/>
      <w:r w:rsidR="001666D1">
        <w:rPr>
          <w:rStyle w:val="CommentReference"/>
          <w:sz w:val="24"/>
          <w:szCs w:val="24"/>
        </w:rPr>
        <w:commentReference w:id="8"/>
      </w:r>
      <w:r w:rsidR="0039674B">
        <w:t>(</w:t>
      </w:r>
      <w:r w:rsidR="0039674B" w:rsidRPr="0039674B">
        <w:t>42 U.S.C. § 3601</w:t>
      </w:r>
      <w:r w:rsidR="0039674B" w:rsidRPr="00174A88">
        <w:t xml:space="preserve">, </w:t>
      </w:r>
      <w:r w:rsidR="0039674B" w:rsidRPr="00174A88">
        <w:rPr>
          <w:i/>
          <w:iCs/>
        </w:rPr>
        <w:t>et seq.</w:t>
      </w:r>
      <w:r w:rsidR="0039674B" w:rsidRPr="00174A88">
        <w:t>)</w:t>
      </w:r>
      <w:r w:rsidR="0039674B">
        <w:t xml:space="preserve"> and the Tennessee Human Rights Act</w:t>
      </w:r>
      <w:r w:rsidR="00E73325">
        <w:t xml:space="preserve"> (</w:t>
      </w:r>
      <w:r w:rsidR="00A675C5">
        <w:t>T.C.A. § 4-21-101</w:t>
      </w:r>
      <w:r w:rsidR="00A675C5" w:rsidRPr="00174A88">
        <w:t xml:space="preserve">, </w:t>
      </w:r>
      <w:r w:rsidR="00A675C5" w:rsidRPr="00174A88">
        <w:rPr>
          <w:i/>
          <w:iCs/>
        </w:rPr>
        <w:t>et seq.</w:t>
      </w:r>
      <w:r w:rsidR="00A675C5">
        <w:t>)</w:t>
      </w:r>
    </w:p>
    <w:p w14:paraId="6034E7C4" w14:textId="027F43E6" w:rsidR="009C4937" w:rsidRDefault="009C4937" w:rsidP="00243729">
      <w:pPr>
        <w:pStyle w:val="NoSpacing"/>
      </w:pPr>
      <w:r>
        <w:t>Federal and state antidiscrimination laws protect against discrimination on the basis of [</w:t>
      </w:r>
      <w:r w:rsidRPr="009C4937">
        <w:rPr>
          <w:highlight w:val="yellow"/>
        </w:rPr>
        <w:t>protected class</w:t>
      </w:r>
      <w:r>
        <w:t>].</w:t>
      </w:r>
    </w:p>
    <w:p w14:paraId="4BD1223F" w14:textId="565C120C" w:rsidR="00D00BB0" w:rsidRDefault="00A675C5" w:rsidP="00243729">
      <w:pPr>
        <w:pStyle w:val="NoSpacing"/>
      </w:pPr>
      <w:r>
        <w:t>De</w:t>
      </w:r>
      <w:r w:rsidR="00F70204">
        <w:t>fe</w:t>
      </w:r>
      <w:r w:rsidR="00777C49">
        <w:t xml:space="preserve">ndant, as a </w:t>
      </w:r>
      <w:commentRangeStart w:id="9"/>
      <w:r w:rsidR="00777C49">
        <w:t>[</w:t>
      </w:r>
      <w:r w:rsidR="00105BD8" w:rsidRPr="636E5B23">
        <w:rPr>
          <w:highlight w:val="yellow"/>
        </w:rPr>
        <w:t>insert protected class</w:t>
      </w:r>
      <w:r w:rsidR="00105BD8">
        <w:t>]</w:t>
      </w:r>
      <w:commentRangeEnd w:id="9"/>
      <w:r>
        <w:rPr>
          <w:rStyle w:val="CommentReference"/>
          <w:sz w:val="24"/>
          <w:szCs w:val="24"/>
        </w:rPr>
        <w:commentReference w:id="9"/>
      </w:r>
      <w:r w:rsidR="00105BD8">
        <w:t xml:space="preserve">, </w:t>
      </w:r>
      <w:r w:rsidR="009C4937">
        <w:t xml:space="preserve">is a member of such a protected </w:t>
      </w:r>
      <w:commentRangeStart w:id="10"/>
      <w:r w:rsidR="009C4937">
        <w:t>class</w:t>
      </w:r>
      <w:commentRangeEnd w:id="10"/>
      <w:r w:rsidR="001666D1">
        <w:rPr>
          <w:rStyle w:val="CommentReference"/>
          <w:sz w:val="24"/>
          <w:szCs w:val="24"/>
        </w:rPr>
        <w:commentReference w:id="10"/>
      </w:r>
      <w:r w:rsidR="00105BD8">
        <w:t>.</w:t>
      </w:r>
    </w:p>
    <w:p w14:paraId="21954439" w14:textId="5D5F6645" w:rsidR="00105BD8" w:rsidRDefault="009C4937" w:rsidP="00243729">
      <w:pPr>
        <w:pStyle w:val="NoSpacing"/>
      </w:pPr>
      <w:r>
        <w:t>By [</w:t>
      </w:r>
      <w:r w:rsidRPr="009C4937">
        <w:rPr>
          <w:highlight w:val="yellow"/>
        </w:rPr>
        <w:t>insert bad action, e.g., failing to accommodate a request for accommodation, making racist remarks, etc.</w:t>
      </w:r>
      <w:r>
        <w:t>], Plaintiff unlawfully discriminated against Defendant.</w:t>
      </w:r>
    </w:p>
    <w:p w14:paraId="56177C15" w14:textId="3C7EF2D5" w:rsidR="001A7A7F" w:rsidRDefault="001A7A7F" w:rsidP="001A7A7F">
      <w:pPr>
        <w:pStyle w:val="NoSpacing"/>
      </w:pPr>
      <w:r>
        <w:t>As a direct and proximate result of Plaintiff’s actions, Defendant suffered damages.</w:t>
      </w:r>
    </w:p>
    <w:p w14:paraId="4D76E0BE" w14:textId="1074902F" w:rsidR="00DC006A" w:rsidRDefault="00DC006A" w:rsidP="00243729">
      <w:pPr>
        <w:pStyle w:val="NoSpacing"/>
      </w:pPr>
      <w:r>
        <w:t xml:space="preserve">Defendant is therefore entitled to actual and punitive damages, as well as costs and attorney’s fees. </w:t>
      </w:r>
      <w:r w:rsidR="00777C49" w:rsidRPr="0039674B">
        <w:t xml:space="preserve">42 U.S.C. § </w:t>
      </w:r>
      <w:r w:rsidR="00777C49">
        <w:t xml:space="preserve">3613; </w:t>
      </w:r>
      <w:r>
        <w:t xml:space="preserve">T.C.A. § 4-21-311. </w:t>
      </w:r>
    </w:p>
    <w:p w14:paraId="3EB1FF84" w14:textId="4F55D29D" w:rsidR="00243729" w:rsidRPr="00174A88" w:rsidRDefault="00243729" w:rsidP="00682E88">
      <w:pPr>
        <w:pStyle w:val="Heading2"/>
      </w:pPr>
      <w:r w:rsidRPr="00174A88">
        <w:t xml:space="preserve">Count </w:t>
      </w:r>
      <w:r w:rsidR="00682E88">
        <w:t>[</w:t>
      </w:r>
      <w:r w:rsidR="00682E88" w:rsidRPr="00682E88">
        <w:rPr>
          <w:highlight w:val="yellow"/>
        </w:rPr>
        <w:t>#</w:t>
      </w:r>
      <w:r w:rsidR="00682E88">
        <w:t>]</w:t>
      </w:r>
      <w:r w:rsidRPr="00174A88">
        <w:t>: Violation of the Tennessee Consumer Protection Act (T.C.A</w:t>
      </w:r>
      <w:r w:rsidR="00F823DF">
        <w:t>.</w:t>
      </w:r>
      <w:r w:rsidRPr="00174A88">
        <w:t xml:space="preserve"> § 47-18-101, </w:t>
      </w:r>
      <w:r w:rsidRPr="00174A88">
        <w:rPr>
          <w:i/>
          <w:iCs/>
        </w:rPr>
        <w:t>et. seq.</w:t>
      </w:r>
      <w:r w:rsidRPr="00174A88">
        <w:t>)</w:t>
      </w:r>
    </w:p>
    <w:p w14:paraId="342ED78E" w14:textId="36649C52" w:rsidR="00243729" w:rsidRPr="00BD0FB9" w:rsidRDefault="00243729" w:rsidP="00243729">
      <w:pPr>
        <w:pStyle w:val="NoSpacing"/>
      </w:pPr>
      <w:r>
        <w:t>The Tennessee Consumer Protection Act prohibits “[r]epresenting that a consumer transaction confers or involves rights, remedies, or obligations that it does not have or involve or which are prohibited by law.” T.C.A.</w:t>
      </w:r>
      <w:r w:rsidR="00682E88">
        <w:t xml:space="preserve"> </w:t>
      </w:r>
      <w:r w:rsidRPr="00682E88">
        <w:t>§ 47-18-104</w:t>
      </w:r>
      <w:commentRangeStart w:id="11"/>
      <w:r w:rsidRPr="00682E88">
        <w:t>(b)(12)</w:t>
      </w:r>
      <w:commentRangeEnd w:id="11"/>
      <w:r w:rsidR="00E91CDF" w:rsidRPr="00174A88">
        <w:rPr>
          <w:rStyle w:val="CommentReference"/>
          <w:sz w:val="24"/>
          <w:szCs w:val="24"/>
        </w:rPr>
        <w:commentReference w:id="11"/>
      </w:r>
      <w:r w:rsidRPr="00174A88">
        <w:t>.</w:t>
      </w:r>
    </w:p>
    <w:p w14:paraId="04102966" w14:textId="36A120B2" w:rsidR="00243729" w:rsidRPr="00BD0FB9" w:rsidRDefault="009F00E5" w:rsidP="00243729">
      <w:pPr>
        <w:pStyle w:val="NoSpacing"/>
      </w:pPr>
      <w:r>
        <w:t xml:space="preserve">Defendant is renting or leasing real property, and so satisfies the definition of </w:t>
      </w:r>
      <w:r w:rsidR="00243729">
        <w:t xml:space="preserve">a consumer </w:t>
      </w:r>
      <w:r>
        <w:t>within the meaning of the</w:t>
      </w:r>
      <w:r w:rsidR="00243729">
        <w:t xml:space="preserve"> Tennessee Consumer Protection Act</w:t>
      </w:r>
      <w:r>
        <w:t xml:space="preserve">, </w:t>
      </w:r>
      <w:r>
        <w:rPr>
          <w:i/>
          <w:iCs/>
        </w:rPr>
        <w:t xml:space="preserve">see </w:t>
      </w:r>
      <w:r>
        <w:t>T.C.A. § 47-18-103(</w:t>
      </w:r>
      <w:r w:rsidR="00605F90">
        <w:t>6</w:t>
      </w:r>
      <w:r>
        <w:t>)</w:t>
      </w:r>
      <w:r w:rsidR="00243729">
        <w:t>.</w:t>
      </w:r>
    </w:p>
    <w:p w14:paraId="7B10D41D" w14:textId="38E9D575" w:rsidR="00243729" w:rsidRPr="00174A88" w:rsidRDefault="00243729" w:rsidP="00243729">
      <w:pPr>
        <w:pStyle w:val="NoSpacing"/>
      </w:pPr>
      <w:r>
        <w:lastRenderedPageBreak/>
        <w:t xml:space="preserve">By </w:t>
      </w:r>
      <w:r w:rsidR="00682E88">
        <w:t>[</w:t>
      </w:r>
      <w:r w:rsidR="00682E88" w:rsidRPr="00682E88">
        <w:rPr>
          <w:highlight w:val="yellow"/>
        </w:rPr>
        <w:t>describe conduct</w:t>
      </w:r>
      <w:r w:rsidR="00682E88">
        <w:t>]</w:t>
      </w:r>
      <w:r>
        <w:t>, Plaintiff engaged in prohibited and unfair or deceptive acts in violation of</w:t>
      </w:r>
      <w:r w:rsidRPr="00BD0FB9">
        <w:t xml:space="preserve"> </w:t>
      </w:r>
      <w:r w:rsidRPr="00174A88">
        <w:t>the Tennessee Consumer Protection Act.</w:t>
      </w:r>
    </w:p>
    <w:p w14:paraId="3CE243A1" w14:textId="432753F4" w:rsidR="009479F1" w:rsidRDefault="00243729" w:rsidP="00682E88">
      <w:pPr>
        <w:pStyle w:val="NoSpacing"/>
      </w:pPr>
      <w:r w:rsidRPr="00174A88">
        <w:t xml:space="preserve">Plaintiff’s actions amount to </w:t>
      </w:r>
      <w:r w:rsidR="00DC69A5">
        <w:t xml:space="preserve">a </w:t>
      </w:r>
      <w:r w:rsidRPr="00174A88">
        <w:t xml:space="preserve">willful </w:t>
      </w:r>
      <w:r w:rsidR="00DC69A5">
        <w:t xml:space="preserve">or knowing </w:t>
      </w:r>
      <w:r w:rsidRPr="00174A88">
        <w:t>violation of the Act.</w:t>
      </w:r>
    </w:p>
    <w:p w14:paraId="66CB4D6C" w14:textId="6D8892D2" w:rsidR="00C90020" w:rsidRDefault="00C90020" w:rsidP="00682E88">
      <w:pPr>
        <w:pStyle w:val="NoSpacing"/>
      </w:pPr>
      <w:r>
        <w:t xml:space="preserve">As a direct and proximate </w:t>
      </w:r>
      <w:r w:rsidR="001A7A7F">
        <w:t>result</w:t>
      </w:r>
      <w:r>
        <w:t xml:space="preserve"> of Plaintiff’s actions, Defendant has suffered damages.</w:t>
      </w:r>
    </w:p>
    <w:p w14:paraId="661D8BD9" w14:textId="08B9C1F9" w:rsidR="007D75DE" w:rsidRDefault="009479F1" w:rsidP="00682E88">
      <w:pPr>
        <w:pStyle w:val="NoSpacing"/>
      </w:pPr>
      <w:r>
        <w:t xml:space="preserve">Defendant is therefore entitled to recover </w:t>
      </w:r>
      <w:r w:rsidR="426D392D">
        <w:t>treble damages, as well as</w:t>
      </w:r>
      <w:r>
        <w:t xml:space="preserve"> </w:t>
      </w:r>
      <w:r w:rsidR="006B29DC">
        <w:t xml:space="preserve">punitive damages, </w:t>
      </w:r>
      <w:r w:rsidR="79082A53">
        <w:t xml:space="preserve">court </w:t>
      </w:r>
      <w:r w:rsidR="006B29DC">
        <w:t>costs</w:t>
      </w:r>
      <w:r w:rsidR="7A245318">
        <w:t>,</w:t>
      </w:r>
      <w:r w:rsidR="006B29DC">
        <w:t xml:space="preserve"> and attorney’s fees.</w:t>
      </w:r>
    </w:p>
    <w:p w14:paraId="0780045C" w14:textId="3C212746" w:rsidR="00C4623E" w:rsidRPr="00A675C5" w:rsidRDefault="00C4623E" w:rsidP="00C4623E">
      <w:pPr>
        <w:pStyle w:val="Heading2"/>
        <w:spacing w:after="240" w:line="240" w:lineRule="auto"/>
      </w:pPr>
      <w:r>
        <w:t>Count [</w:t>
      </w:r>
      <w:r w:rsidRPr="4560E540">
        <w:rPr>
          <w:highlight w:val="yellow"/>
        </w:rPr>
        <w:t>#</w:t>
      </w:r>
      <w:r>
        <w:t>]: Retaliation (T.C.A. § 66-28-514)</w:t>
      </w:r>
    </w:p>
    <w:p w14:paraId="5533F864" w14:textId="77777777" w:rsidR="00C4623E" w:rsidRDefault="00C4623E" w:rsidP="00C4623E">
      <w:pPr>
        <w:pStyle w:val="NoSpacing"/>
      </w:pPr>
      <w:r>
        <w:t>“[A] landlord may not retaliate by increasing rent or decreasing services or by bringing or threatening to bring an action for possession because the tenant . . . [h]as made use of remedies provided under [URLTA].” T.C.A. § 66-28-514.</w:t>
      </w:r>
    </w:p>
    <w:p w14:paraId="45CCEC4B" w14:textId="01092565" w:rsidR="00C4623E" w:rsidRDefault="00C4623E" w:rsidP="00C4623E">
      <w:pPr>
        <w:pStyle w:val="NoSpacing"/>
      </w:pPr>
      <w:r>
        <w:t>Defendant made use of remedies under URLTA by [</w:t>
      </w:r>
      <w:r w:rsidRPr="00C4623E">
        <w:rPr>
          <w:highlight w:val="yellow"/>
        </w:rPr>
        <w:t>explain</w:t>
      </w:r>
      <w:r>
        <w:t>].</w:t>
      </w:r>
    </w:p>
    <w:p w14:paraId="6191DC86" w14:textId="77777777" w:rsidR="00C4623E" w:rsidRDefault="00C4623E" w:rsidP="00C4623E">
      <w:pPr>
        <w:pStyle w:val="NoSpacing"/>
      </w:pPr>
      <w:r>
        <w:t xml:space="preserve">At least in part as a response to Defendant’s protected conduct, Plaintiff brought this detainer action. </w:t>
      </w:r>
    </w:p>
    <w:p w14:paraId="64999846" w14:textId="0317EF01" w:rsidR="001A7A7F" w:rsidRDefault="001A7A7F" w:rsidP="001A7A7F">
      <w:pPr>
        <w:pStyle w:val="NoSpacing"/>
      </w:pPr>
      <w:r>
        <w:t>As a direct and proximate result of Plaintiff’s actions, Defendant suffered damages.</w:t>
      </w:r>
    </w:p>
    <w:p w14:paraId="7203667F" w14:textId="3E39A524" w:rsidR="00C4623E" w:rsidRDefault="00C4623E" w:rsidP="00C4623E">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Defendant may therefore obtain injunctive relief and recover damages and reasonable attorney’s fees. </w:t>
      </w:r>
      <w:r>
        <w:rPr>
          <w:rFonts w:ascii="Times New Roman" w:hAnsi="Times New Roman" w:cs="Times New Roman"/>
          <w:i/>
          <w:iCs/>
          <w:sz w:val="24"/>
          <w:szCs w:val="24"/>
        </w:rPr>
        <w:t xml:space="preserve">See </w:t>
      </w:r>
      <w:r>
        <w:rPr>
          <w:rFonts w:ascii="Times New Roman" w:hAnsi="Times New Roman" w:cs="Times New Roman"/>
          <w:sz w:val="24"/>
          <w:szCs w:val="24"/>
        </w:rPr>
        <w:t>T.C.A. § 66-28-501</w:t>
      </w:r>
    </w:p>
    <w:p w14:paraId="59106AA0" w14:textId="6DB0E3EF" w:rsidR="006E1DD3" w:rsidRPr="00546209" w:rsidRDefault="006E1DD3" w:rsidP="006E1DD3">
      <w:pPr>
        <w:pStyle w:val="Heading2"/>
      </w:pPr>
      <w:r>
        <w:t>Count</w:t>
      </w:r>
      <w:r w:rsidR="001A3E6A">
        <w:t xml:space="preserve"> </w:t>
      </w:r>
      <w:r>
        <w:t>[</w:t>
      </w:r>
      <w:r w:rsidRPr="00682E88">
        <w:rPr>
          <w:highlight w:val="yellow"/>
        </w:rPr>
        <w:t>#</w:t>
      </w:r>
      <w:r>
        <w:t>]: Trespass</w:t>
      </w:r>
      <w:r w:rsidRPr="002636DD">
        <w:t xml:space="preserve"> </w:t>
      </w:r>
    </w:p>
    <w:p w14:paraId="65D75849" w14:textId="77777777" w:rsidR="006E1DD3" w:rsidRDefault="006E1DD3" w:rsidP="006E1DD3">
      <w:pPr>
        <w:pStyle w:val="NoSpacing"/>
      </w:pPr>
      <w:r w:rsidRPr="00B97BB7">
        <w:t xml:space="preserve">Trespass </w:t>
      </w:r>
      <w:r>
        <w:t>protects the right to possession of real property.</w:t>
      </w:r>
    </w:p>
    <w:p w14:paraId="1162D265" w14:textId="14D8BE0D" w:rsidR="006E1DD3" w:rsidRDefault="006E1DD3" w:rsidP="006E1DD3">
      <w:pPr>
        <w:pStyle w:val="NoSpacing"/>
      </w:pPr>
      <w:r>
        <w:t>Plaintiff, as the lessor, maintained a limited right to access Defendant’s unit, for example to make repairs.</w:t>
      </w:r>
    </w:p>
    <w:p w14:paraId="172E396C" w14:textId="6AC623BD" w:rsidR="006E1DD3" w:rsidRDefault="006E1DD3" w:rsidP="006E1DD3">
      <w:pPr>
        <w:pStyle w:val="NoSpacing"/>
      </w:pPr>
      <w:r>
        <w:t xml:space="preserve">Plaintiff lacked authority to enter Defendant’s unit for purposes of </w:t>
      </w:r>
      <w:r w:rsidR="001A3E6A">
        <w:t>[</w:t>
      </w:r>
      <w:r w:rsidR="001A3E6A" w:rsidRPr="001A3E6A">
        <w:rPr>
          <w:highlight w:val="yellow"/>
        </w:rPr>
        <w:t xml:space="preserve">harassment, </w:t>
      </w:r>
      <w:r w:rsidRPr="001A3E6A">
        <w:rPr>
          <w:highlight w:val="yellow"/>
        </w:rPr>
        <w:t>dispossessing her of the unit</w:t>
      </w:r>
      <w:r w:rsidR="001A3E6A" w:rsidRPr="001A3E6A">
        <w:rPr>
          <w:highlight w:val="yellow"/>
        </w:rPr>
        <w:t>, etc.</w:t>
      </w:r>
      <w:r w:rsidR="001A3E6A">
        <w:t>]</w:t>
      </w:r>
      <w:r>
        <w:t>.</w:t>
      </w:r>
    </w:p>
    <w:p w14:paraId="635D97B5" w14:textId="280E9F74" w:rsidR="006E1DD3" w:rsidRDefault="006E1DD3" w:rsidP="006E1DD3">
      <w:pPr>
        <w:pStyle w:val="NoSpacing"/>
      </w:pPr>
      <w:r>
        <w:t>Plaintiff’s entry into the unit was intentional, malicious, and/or reckless.</w:t>
      </w:r>
      <w:r w:rsidR="00A33C3D">
        <w:t xml:space="preserve"> [</w:t>
      </w:r>
      <w:r w:rsidR="00A33C3D" w:rsidRPr="00A33C3D">
        <w:rPr>
          <w:highlight w:val="yellow"/>
        </w:rPr>
        <w:t>Necessary if we want punitive damages</w:t>
      </w:r>
      <w:r w:rsidR="00A33C3D">
        <w:t>]</w:t>
      </w:r>
    </w:p>
    <w:p w14:paraId="4259B9A0" w14:textId="27447DA1" w:rsidR="001A7A7F" w:rsidRDefault="001A7A7F" w:rsidP="001A7A7F">
      <w:pPr>
        <w:pStyle w:val="NoSpacing"/>
      </w:pPr>
      <w:r>
        <w:lastRenderedPageBreak/>
        <w:t>As a direct and proximate result of Plaintiff’s actions, Defendant suffered damages.</w:t>
      </w:r>
    </w:p>
    <w:p w14:paraId="1891F2CB" w14:textId="4FA00DF2" w:rsidR="006E1DD3" w:rsidRDefault="006E1DD3" w:rsidP="006E1DD3">
      <w:pPr>
        <w:pStyle w:val="NoSpacing"/>
      </w:pPr>
      <w:r>
        <w:t xml:space="preserve">Defendant is therefore entitled to recover compensatory </w:t>
      </w:r>
      <w:r w:rsidR="00A33C3D">
        <w:t>[</w:t>
      </w:r>
      <w:r w:rsidRPr="00A33C3D">
        <w:rPr>
          <w:highlight w:val="yellow"/>
        </w:rPr>
        <w:t>and punitive</w:t>
      </w:r>
      <w:r w:rsidR="00A33C3D">
        <w:t>]</w:t>
      </w:r>
      <w:r>
        <w:t xml:space="preserve"> damages.</w:t>
      </w:r>
    </w:p>
    <w:p w14:paraId="321C08C6" w14:textId="341EA387" w:rsidR="006E1DD3" w:rsidRPr="00546209" w:rsidRDefault="006E1DD3" w:rsidP="006E1DD3">
      <w:pPr>
        <w:pStyle w:val="Heading2"/>
      </w:pPr>
      <w:r>
        <w:t xml:space="preserve">Count </w:t>
      </w:r>
      <w:r w:rsidR="00A33C3D">
        <w:t>[</w:t>
      </w:r>
      <w:r w:rsidR="00A33C3D" w:rsidRPr="00A33C3D">
        <w:rPr>
          <w:highlight w:val="yellow"/>
        </w:rPr>
        <w:t>#</w:t>
      </w:r>
      <w:r w:rsidR="00A33C3D">
        <w:t>]</w:t>
      </w:r>
      <w:r>
        <w:t>: Trespass</w:t>
      </w:r>
      <w:r w:rsidRPr="002636DD">
        <w:t xml:space="preserve"> </w:t>
      </w:r>
      <w:r>
        <w:t>to Chattels</w:t>
      </w:r>
    </w:p>
    <w:p w14:paraId="78896227" w14:textId="77777777" w:rsidR="006E1DD3" w:rsidRPr="00F8725C" w:rsidRDefault="006E1DD3" w:rsidP="006E1DD3">
      <w:pPr>
        <w:pStyle w:val="NoSpacing"/>
      </w:pPr>
      <w:r>
        <w:t>“</w:t>
      </w:r>
      <w:r w:rsidRPr="00021374">
        <w:t xml:space="preserve">A </w:t>
      </w:r>
      <w:r>
        <w:t>[party]</w:t>
      </w:r>
      <w:r w:rsidRPr="00021374">
        <w:t xml:space="preserve"> may recover for trespass to chattels upon showing that another party intentionally used or intermeddled with </w:t>
      </w:r>
      <w:r>
        <w:t>t</w:t>
      </w:r>
      <w:r w:rsidRPr="00021374">
        <w:t xml:space="preserve">he </w:t>
      </w:r>
      <w:r>
        <w:t xml:space="preserve">[party]’s </w:t>
      </w:r>
      <w:r w:rsidRPr="00021374">
        <w:t>personal property without authorization</w:t>
      </w:r>
      <w:r>
        <w:t>,</w:t>
      </w:r>
      <w:r w:rsidRPr="00021374">
        <w:t>”</w:t>
      </w:r>
      <w:r>
        <w:t xml:space="preserve"> and that the “condition, quality, or value” of that property was impaired. </w:t>
      </w:r>
      <w:r>
        <w:rPr>
          <w:i/>
          <w:iCs/>
        </w:rPr>
        <w:t>Kauffman v. Forsythe</w:t>
      </w:r>
      <w:r>
        <w:t xml:space="preserve">, </w:t>
      </w:r>
      <w:r w:rsidRPr="00F8725C">
        <w:t>2021 WL 2102910, at *4 (Tenn. Ct. App. May 25, 2021)</w:t>
      </w:r>
      <w:r>
        <w:t xml:space="preserve"> (alterations and internal quotation marks omitted). </w:t>
      </w:r>
    </w:p>
    <w:p w14:paraId="49876449" w14:textId="77777777" w:rsidR="006E1DD3" w:rsidRDefault="006E1DD3" w:rsidP="006E1DD3">
      <w:pPr>
        <w:pStyle w:val="NoSpacing"/>
      </w:pPr>
      <w:r>
        <w:t xml:space="preserve">Plaintiff intentionally, maliciously, and/or recklessly damaged and destroyed Defendant’s belongings. </w:t>
      </w:r>
    </w:p>
    <w:p w14:paraId="19242830" w14:textId="20EE61F2" w:rsidR="001A7A7F" w:rsidRDefault="001A7A7F" w:rsidP="001A7A7F">
      <w:pPr>
        <w:pStyle w:val="NoSpacing"/>
      </w:pPr>
      <w:r>
        <w:t>As a direct and proximate result of Plaintiff’s actions, Defendant suffered damages.</w:t>
      </w:r>
    </w:p>
    <w:p w14:paraId="6A1F1092" w14:textId="77777777" w:rsidR="006E1DD3" w:rsidRDefault="006E1DD3" w:rsidP="006E1DD3">
      <w:pPr>
        <w:pStyle w:val="NoSpacing"/>
      </w:pPr>
      <w:r>
        <w:t>Defendant is therefore entitled to recover compensatory and punitive damages.</w:t>
      </w:r>
    </w:p>
    <w:p w14:paraId="44CB98E4" w14:textId="6B65E115" w:rsidR="006E1DD3" w:rsidRPr="00546209" w:rsidRDefault="006E1DD3" w:rsidP="006E1DD3">
      <w:pPr>
        <w:pStyle w:val="Heading2"/>
      </w:pPr>
      <w:r>
        <w:t xml:space="preserve">Count </w:t>
      </w:r>
      <w:r w:rsidR="00753EE6">
        <w:t>[</w:t>
      </w:r>
      <w:r w:rsidR="00753EE6" w:rsidRPr="00753EE6">
        <w:rPr>
          <w:highlight w:val="yellow"/>
        </w:rPr>
        <w:t>#</w:t>
      </w:r>
      <w:r w:rsidR="00753EE6">
        <w:t>]</w:t>
      </w:r>
      <w:r>
        <w:t xml:space="preserve">: </w:t>
      </w:r>
      <w:commentRangeStart w:id="12"/>
      <w:r>
        <w:t>Conversion</w:t>
      </w:r>
      <w:commentRangeEnd w:id="12"/>
      <w:r w:rsidR="00753EE6" w:rsidRPr="00546209">
        <w:rPr>
          <w:rStyle w:val="CommentReference"/>
          <w:sz w:val="24"/>
          <w:szCs w:val="24"/>
        </w:rPr>
        <w:commentReference w:id="12"/>
      </w:r>
    </w:p>
    <w:p w14:paraId="51B5333A" w14:textId="77777777" w:rsidR="006E1DD3" w:rsidRPr="00D71A0F" w:rsidRDefault="006E1DD3" w:rsidP="006E1DD3">
      <w:pPr>
        <w:pStyle w:val="NoSpacing"/>
      </w:pPr>
      <w:r w:rsidRPr="00D71A0F">
        <w:t>“[</w:t>
      </w:r>
      <w:r>
        <w:t>O]</w:t>
      </w:r>
      <w:r w:rsidRPr="00D71A0F">
        <w:t xml:space="preserve">ne who intentionally destroys a </w:t>
      </w:r>
      <w:r w:rsidRPr="00D71A0F">
        <w:rPr>
          <w:bdr w:val="none" w:sz="0" w:space="0" w:color="auto" w:frame="1"/>
          <w:shd w:val="clear" w:color="auto" w:fill="FFFFFF"/>
        </w:rPr>
        <w:t>chattel</w:t>
      </w:r>
      <w:r w:rsidRPr="00D71A0F">
        <w:t xml:space="preserve"> or so materially alters its physical condition as to change its identity or character is subject to liability for conversion.”</w:t>
      </w:r>
      <w:r>
        <w:rPr>
          <w:color w:val="212121"/>
        </w:rPr>
        <w:t xml:space="preserve"> </w:t>
      </w:r>
      <w:r w:rsidRPr="00D71A0F">
        <w:rPr>
          <w:i/>
          <w:iCs/>
          <w:color w:val="212121"/>
          <w:bdr w:val="none" w:sz="0" w:space="0" w:color="auto" w:frame="1"/>
        </w:rPr>
        <w:t>Kauffman v. Forsythe</w:t>
      </w:r>
      <w:r w:rsidRPr="00D71A0F">
        <w:t>, 2021 WL 2102910, at *4 (Tenn. Ct. App. May 25, 2021)</w:t>
      </w:r>
      <w:r>
        <w:t xml:space="preserve"> (quoting Restatement (Second) of Torts, § 226).</w:t>
      </w:r>
    </w:p>
    <w:p w14:paraId="2F7B0E17" w14:textId="77777777" w:rsidR="006E1DD3" w:rsidRDefault="006E1DD3" w:rsidP="006E1DD3">
      <w:pPr>
        <w:pStyle w:val="NoSpacing"/>
      </w:pPr>
      <w:r>
        <w:t xml:space="preserve">Plaintiff intentionally and maliciously destroyed Defendant’s belongings. </w:t>
      </w:r>
    </w:p>
    <w:p w14:paraId="794DE6E0" w14:textId="3E1DB161" w:rsidR="001A7A7F" w:rsidRDefault="001A7A7F" w:rsidP="001A7A7F">
      <w:pPr>
        <w:pStyle w:val="NoSpacing"/>
      </w:pPr>
      <w:r>
        <w:t>As a direct and proximate result of Plaintiff’s actions, Defendant suffered damages.</w:t>
      </w:r>
    </w:p>
    <w:p w14:paraId="48A847DA" w14:textId="738E7D70" w:rsidR="00785893" w:rsidRDefault="006E1DD3" w:rsidP="00785893">
      <w:pPr>
        <w:pStyle w:val="NoSpacing"/>
      </w:pPr>
      <w:r>
        <w:t>Defendant is therefore entitled to recover compensatory and punitive damages.</w:t>
      </w:r>
    </w:p>
    <w:p w14:paraId="254AF4DB" w14:textId="6C60B715" w:rsidR="00785893" w:rsidRPr="00546209" w:rsidRDefault="00785893" w:rsidP="00785893">
      <w:pPr>
        <w:pStyle w:val="Heading2"/>
      </w:pPr>
      <w:r>
        <w:t>Count [</w:t>
      </w:r>
      <w:r w:rsidRPr="00753EE6">
        <w:rPr>
          <w:highlight w:val="yellow"/>
        </w:rPr>
        <w:t>#</w:t>
      </w:r>
      <w:r>
        <w:t xml:space="preserve">]: </w:t>
      </w:r>
      <w:r w:rsidR="00B30268">
        <w:t>Breach of Contract</w:t>
      </w:r>
      <w:r w:rsidR="001C626B">
        <w:t xml:space="preserve"> through Violation of the Violence Against Women </w:t>
      </w:r>
      <w:commentRangeStart w:id="13"/>
      <w:r w:rsidR="001C626B">
        <w:t>Act</w:t>
      </w:r>
      <w:commentRangeEnd w:id="13"/>
      <w:r w:rsidR="009E489E" w:rsidRPr="00546209">
        <w:rPr>
          <w:rStyle w:val="CommentReference"/>
          <w:sz w:val="24"/>
          <w:szCs w:val="24"/>
        </w:rPr>
        <w:commentReference w:id="13"/>
      </w:r>
    </w:p>
    <w:p w14:paraId="35268FAD" w14:textId="3A80B45B" w:rsidR="00785893" w:rsidRDefault="009E489E" w:rsidP="006E1DD3">
      <w:pPr>
        <w:pStyle w:val="NoSpacing"/>
      </w:pPr>
      <w:r>
        <w:t>Plaintiff is a federally subsidized property</w:t>
      </w:r>
      <w:r w:rsidR="00641893">
        <w:t xml:space="preserve"> subject to the requirements of the Violence Against Women Act</w:t>
      </w:r>
      <w:r w:rsidR="00D204CE">
        <w:t xml:space="preserve"> (VAWA)</w:t>
      </w:r>
      <w:r w:rsidR="00641893">
        <w:t>.</w:t>
      </w:r>
    </w:p>
    <w:p w14:paraId="63200C13" w14:textId="55DCAD56" w:rsidR="008854E9" w:rsidRDefault="008854E9" w:rsidP="006E1DD3">
      <w:pPr>
        <w:pStyle w:val="NoSpacing"/>
      </w:pPr>
      <w:r>
        <w:lastRenderedPageBreak/>
        <w:t xml:space="preserve">VAWA requires Plaintiff to take certain actions to protect survivors of domestic violence, dating violence, sexual assault, and stalking. </w:t>
      </w:r>
      <w:r w:rsidR="00210261">
        <w:t xml:space="preserve">Among other requirements, Plaintiff may not evict a survivor because of abuse and must offer emergency transfers </w:t>
      </w:r>
      <w:r w:rsidR="006A24A4">
        <w:t>to survivors of abuse.</w:t>
      </w:r>
    </w:p>
    <w:p w14:paraId="1AEE4408" w14:textId="458D12F8" w:rsidR="00641893" w:rsidRDefault="000F63E2" w:rsidP="006E1DD3">
      <w:pPr>
        <w:pStyle w:val="NoSpacing"/>
      </w:pPr>
      <w:r>
        <w:t>The</w:t>
      </w:r>
      <w:r w:rsidR="008854E9">
        <w:t>se</w:t>
      </w:r>
      <w:r>
        <w:t xml:space="preserve"> </w:t>
      </w:r>
      <w:r w:rsidR="006A24A4">
        <w:t xml:space="preserve">VAWA </w:t>
      </w:r>
      <w:r>
        <w:t xml:space="preserve">requirements are incorporated into Defendant’s </w:t>
      </w:r>
      <w:commentRangeStart w:id="14"/>
      <w:r>
        <w:t>lease</w:t>
      </w:r>
      <w:commentRangeEnd w:id="14"/>
      <w:r w:rsidR="008854E9">
        <w:rPr>
          <w:rStyle w:val="CommentReference"/>
          <w:sz w:val="24"/>
          <w:szCs w:val="24"/>
        </w:rPr>
        <w:commentReference w:id="14"/>
      </w:r>
      <w:r>
        <w:t xml:space="preserve">. </w:t>
      </w:r>
    </w:p>
    <w:p w14:paraId="78758630" w14:textId="511750FC" w:rsidR="00B00972" w:rsidRDefault="00B00972" w:rsidP="006E1DD3">
      <w:pPr>
        <w:pStyle w:val="NoSpacing"/>
      </w:pPr>
      <w:r>
        <w:t xml:space="preserve">Defendant is a survivor of </w:t>
      </w:r>
      <w:r w:rsidR="003E0692">
        <w:t>[</w:t>
      </w:r>
      <w:r w:rsidR="003E0692" w:rsidRPr="003E0692">
        <w:rPr>
          <w:highlight w:val="yellow"/>
        </w:rPr>
        <w:t>pick one or more: domestic violence, dating violence, sexual assault, stalking</w:t>
      </w:r>
      <w:r w:rsidR="003E0692">
        <w:t xml:space="preserve">]. </w:t>
      </w:r>
    </w:p>
    <w:p w14:paraId="61702AD3" w14:textId="7E5F49F4" w:rsidR="006A24A4" w:rsidRDefault="00E5491F" w:rsidP="006E1DD3">
      <w:pPr>
        <w:pStyle w:val="NoSpacing"/>
      </w:pPr>
      <w:r>
        <w:t>Plaintiff breached the contract by [</w:t>
      </w:r>
      <w:r w:rsidRPr="00B00972">
        <w:rPr>
          <w:highlight w:val="yellow"/>
        </w:rPr>
        <w:t xml:space="preserve">filing this action, which results directly from Defendant’s status as a survivor of abuse OR </w:t>
      </w:r>
      <w:r w:rsidR="00B00972" w:rsidRPr="00B00972">
        <w:rPr>
          <w:highlight w:val="yellow"/>
        </w:rPr>
        <w:t>failing to provide Defendant with a necessary emergency transfer</w:t>
      </w:r>
      <w:r w:rsidR="00B00972">
        <w:t>]</w:t>
      </w:r>
      <w:r w:rsidR="006A24A4">
        <w:t xml:space="preserve">. </w:t>
      </w:r>
    </w:p>
    <w:p w14:paraId="4535FAFD" w14:textId="51D04EBC" w:rsidR="001A7A7F" w:rsidRDefault="001A7A7F" w:rsidP="001A7A7F">
      <w:pPr>
        <w:pStyle w:val="NoSpacing"/>
      </w:pPr>
      <w:r>
        <w:t>As a direct and proximate result of Plaintiff’s actions, Defendant suffered damages.</w:t>
      </w:r>
    </w:p>
    <w:p w14:paraId="046FA07C" w14:textId="4410927D" w:rsidR="003450BD" w:rsidRDefault="008854E9" w:rsidP="003450BD">
      <w:pPr>
        <w:pStyle w:val="NoSpacing"/>
      </w:pPr>
      <w:r>
        <w:t xml:space="preserve"> </w:t>
      </w:r>
      <w:r w:rsidR="003450BD">
        <w:t>Defendant is therefore entitled to recover compensatory damages.</w:t>
      </w:r>
    </w:p>
    <w:p w14:paraId="65AD8253" w14:textId="2623250F" w:rsidR="0061481A" w:rsidRPr="00546209" w:rsidRDefault="0061481A" w:rsidP="0061481A">
      <w:pPr>
        <w:pStyle w:val="Heading2"/>
      </w:pPr>
      <w:r>
        <w:t>Count [</w:t>
      </w:r>
      <w:r w:rsidRPr="00753EE6">
        <w:rPr>
          <w:highlight w:val="yellow"/>
        </w:rPr>
        <w:t>#</w:t>
      </w:r>
      <w:r>
        <w:t xml:space="preserve">]: </w:t>
      </w:r>
      <w:r w:rsidR="00BD57F4">
        <w:t>Promissory Estoppel</w:t>
      </w:r>
    </w:p>
    <w:p w14:paraId="63FC1A04" w14:textId="54AF711E" w:rsidR="00BD57F4" w:rsidRDefault="00553FFB" w:rsidP="003238A7">
      <w:pPr>
        <w:pStyle w:val="NoSpacing"/>
      </w:pPr>
      <w:r>
        <w:t>The elements of a claim for promissory estoppel are “</w:t>
      </w:r>
      <w:r w:rsidR="00BD57F4">
        <w:t xml:space="preserve">(1) that a promise was made; (2) that the promise was unambiguous and not unenforceably vague; and (3) that </w:t>
      </w:r>
      <w:r>
        <w:t>[</w:t>
      </w:r>
      <w:r w:rsidR="003238A7">
        <w:t>the claimant]</w:t>
      </w:r>
      <w:r w:rsidR="00BD57F4">
        <w:t xml:space="preserve"> reasonably relied upon the promise to their detriment.</w:t>
      </w:r>
      <w:r w:rsidR="003238A7">
        <w:t xml:space="preserve">” </w:t>
      </w:r>
      <w:r w:rsidR="00BD57F4" w:rsidRPr="003238A7">
        <w:rPr>
          <w:i/>
          <w:iCs/>
        </w:rPr>
        <w:t>Chavez v. Broadway Elec. Serv. Corp.</w:t>
      </w:r>
      <w:r w:rsidR="00BD57F4">
        <w:t>, 245 S.W.3d 398, 404 (Tenn. Ct. App. 2007)</w:t>
      </w:r>
      <w:r w:rsidR="003238A7">
        <w:t>.</w:t>
      </w:r>
    </w:p>
    <w:p w14:paraId="4C6D9D77" w14:textId="311D4AC7" w:rsidR="0061481A" w:rsidRDefault="00665E5A" w:rsidP="0061481A">
      <w:pPr>
        <w:pStyle w:val="NoSpacing"/>
      </w:pPr>
      <w:r>
        <w:t>Plaintiff made a specific, unambiguous promise that [</w:t>
      </w:r>
      <w:r w:rsidR="00885774" w:rsidRPr="00C55546">
        <w:rPr>
          <w:highlight w:val="yellow"/>
        </w:rPr>
        <w:t>describe</w:t>
      </w:r>
      <w:r w:rsidR="00177DE1" w:rsidRPr="00C55546">
        <w:rPr>
          <w:highlight w:val="yellow"/>
        </w:rPr>
        <w:t xml:space="preserve"> – e.g., </w:t>
      </w:r>
      <w:r w:rsidR="00015C34" w:rsidRPr="00C55546">
        <w:rPr>
          <w:highlight w:val="yellow"/>
        </w:rPr>
        <w:t>wouldn’t be evicted as long as paperwork/payment was submitted by X date</w:t>
      </w:r>
      <w:r w:rsidR="00177DE1" w:rsidRPr="00C55546">
        <w:rPr>
          <w:highlight w:val="yellow"/>
        </w:rPr>
        <w:t xml:space="preserve">, </w:t>
      </w:r>
      <w:r w:rsidR="0025653A" w:rsidRPr="00C55546">
        <w:rPr>
          <w:highlight w:val="yellow"/>
        </w:rPr>
        <w:t>car wouldn’t get towed</w:t>
      </w:r>
      <w:r w:rsidR="00C55546" w:rsidRPr="00C55546">
        <w:rPr>
          <w:highlight w:val="yellow"/>
        </w:rPr>
        <w:t>, apartment would be held until whenever</w:t>
      </w:r>
      <w:r>
        <w:t>].</w:t>
      </w:r>
    </w:p>
    <w:p w14:paraId="101A9173" w14:textId="3C52E63E" w:rsidR="00665E5A" w:rsidRDefault="00665E5A" w:rsidP="0061481A">
      <w:pPr>
        <w:pStyle w:val="NoSpacing"/>
      </w:pPr>
      <w:r>
        <w:t>Defendant reasonably relied on that promise by [</w:t>
      </w:r>
      <w:r w:rsidRPr="00665E5A">
        <w:rPr>
          <w:highlight w:val="yellow"/>
        </w:rPr>
        <w:t>describe</w:t>
      </w:r>
      <w:r>
        <w:t>].</w:t>
      </w:r>
    </w:p>
    <w:p w14:paraId="335CCFCD" w14:textId="7773B5CD" w:rsidR="00C55546" w:rsidRDefault="00736ACE" w:rsidP="0061481A">
      <w:pPr>
        <w:pStyle w:val="NoSpacing"/>
      </w:pPr>
      <w:r>
        <w:t>That reliance was to Defendant’s detriment because [</w:t>
      </w:r>
      <w:r w:rsidRPr="00736ACE">
        <w:rPr>
          <w:highlight w:val="yellow"/>
        </w:rPr>
        <w:t>consequence – fees were added, eviction was filed, car was towed</w:t>
      </w:r>
      <w:r>
        <w:t>].</w:t>
      </w:r>
    </w:p>
    <w:p w14:paraId="104B6071" w14:textId="0250E97A" w:rsidR="0061481A" w:rsidRDefault="0061481A" w:rsidP="0061481A">
      <w:pPr>
        <w:pStyle w:val="NoSpacing"/>
      </w:pPr>
      <w:r>
        <w:lastRenderedPageBreak/>
        <w:t>Defendant is therefore entitled to recover compensatory damages.</w:t>
      </w:r>
    </w:p>
    <w:p w14:paraId="7DAB56A3" w14:textId="50333391" w:rsidR="00A27447" w:rsidRPr="00546209" w:rsidRDefault="00A27447" w:rsidP="00A27447">
      <w:pPr>
        <w:pStyle w:val="Heading2"/>
      </w:pPr>
      <w:r>
        <w:t>Count [</w:t>
      </w:r>
      <w:r w:rsidRPr="00753EE6">
        <w:rPr>
          <w:highlight w:val="yellow"/>
        </w:rPr>
        <w:t>#</w:t>
      </w:r>
      <w:r>
        <w:t>]: Negligence</w:t>
      </w:r>
    </w:p>
    <w:p w14:paraId="3E92A398" w14:textId="2ECCC808" w:rsidR="00554616" w:rsidRDefault="00A27447" w:rsidP="009F206E">
      <w:pPr>
        <w:pStyle w:val="NoSpacing"/>
      </w:pPr>
      <w:r>
        <w:t xml:space="preserve">The elements of a claim for negligence are </w:t>
      </w:r>
      <w:r w:rsidR="009F206E">
        <w:t>“</w:t>
      </w:r>
      <w:r w:rsidR="00554616">
        <w:t>1) a duty of care owed by the defendant to the plaintiff; (2) conduct by the defendant falling below the standard of care amounting to a breach of the duty; (3) an injury or loss; (4) causation in fact; and (5) proximate causation</w:t>
      </w:r>
      <w:r w:rsidR="009F206E">
        <w:t xml:space="preserve">.” </w:t>
      </w:r>
      <w:r w:rsidR="00554616" w:rsidRPr="009F206E">
        <w:rPr>
          <w:i/>
          <w:iCs/>
        </w:rPr>
        <w:t>Rice v. Sabir</w:t>
      </w:r>
      <w:r w:rsidR="00554616">
        <w:t>, 979 S.W.2d 305, 308 (Tenn. 1998)</w:t>
      </w:r>
      <w:r w:rsidR="009F206E">
        <w:t>.</w:t>
      </w:r>
    </w:p>
    <w:p w14:paraId="26B44C27" w14:textId="078FA5E4" w:rsidR="009F206E" w:rsidRDefault="00D7281F" w:rsidP="009F206E">
      <w:pPr>
        <w:pStyle w:val="NoSpacing"/>
      </w:pPr>
      <w:r>
        <w:t>Plaintiff</w:t>
      </w:r>
      <w:r w:rsidR="009F206E">
        <w:t xml:space="preserve"> owed </w:t>
      </w:r>
      <w:r>
        <w:t>Defendant</w:t>
      </w:r>
      <w:r w:rsidR="009F206E">
        <w:t xml:space="preserve"> a duty of care</w:t>
      </w:r>
      <w:r>
        <w:t xml:space="preserve"> to [</w:t>
      </w:r>
      <w:r w:rsidRPr="00D7281F">
        <w:rPr>
          <w:highlight w:val="yellow"/>
        </w:rPr>
        <w:t>describe</w:t>
      </w:r>
      <w:r>
        <w:t>].</w:t>
      </w:r>
    </w:p>
    <w:p w14:paraId="5CE8C5DC" w14:textId="515BB68A" w:rsidR="00D7281F" w:rsidRDefault="00D7281F" w:rsidP="009F206E">
      <w:pPr>
        <w:pStyle w:val="NoSpacing"/>
      </w:pPr>
      <w:r>
        <w:t>Plaintiff’s conduct fell below that standard of care because [</w:t>
      </w:r>
      <w:r w:rsidRPr="00D7281F">
        <w:rPr>
          <w:highlight w:val="yellow"/>
        </w:rPr>
        <w:t>describe</w:t>
      </w:r>
      <w:r>
        <w:t>].</w:t>
      </w:r>
    </w:p>
    <w:p w14:paraId="52EF1A6D" w14:textId="407764E8" w:rsidR="00D7281F" w:rsidRDefault="00D7281F" w:rsidP="009F206E">
      <w:pPr>
        <w:pStyle w:val="NoSpacing"/>
      </w:pPr>
      <w:r>
        <w:t>As a direct and proximate result of Plaintiff’s action, Defendant suffered damages, including [</w:t>
      </w:r>
      <w:r w:rsidRPr="00D7281F">
        <w:rPr>
          <w:highlight w:val="yellow"/>
        </w:rPr>
        <w:t>list</w:t>
      </w:r>
      <w:r>
        <w:t>].</w:t>
      </w:r>
    </w:p>
    <w:p w14:paraId="5E005C2C" w14:textId="48E7C054" w:rsidR="00D7281F" w:rsidRDefault="00D7281F" w:rsidP="00D7281F">
      <w:pPr>
        <w:pStyle w:val="NoSpacing"/>
      </w:pPr>
      <w:r>
        <w:t>Defendant is therefore entitled to recover compensatory damages.</w:t>
      </w:r>
    </w:p>
    <w:p w14:paraId="5E7408CC" w14:textId="6DA6DCA3" w:rsidR="00A27447" w:rsidRDefault="00A27447" w:rsidP="00A27447">
      <w:pPr>
        <w:pStyle w:val="NoSpacing"/>
        <w:numPr>
          <w:ilvl w:val="0"/>
          <w:numId w:val="0"/>
        </w:numPr>
        <w:ind w:left="720" w:hanging="720"/>
      </w:pPr>
    </w:p>
    <w:p w14:paraId="1632BBF9" w14:textId="31769F45" w:rsidR="00BA64DB" w:rsidRPr="006B4F7D" w:rsidRDefault="00BA64DB" w:rsidP="00BA64DB">
      <w:pPr>
        <w:pStyle w:val="Heading1"/>
      </w:pPr>
      <w:r>
        <w:t>PRAYER FOR RELIEF</w:t>
      </w:r>
    </w:p>
    <w:p w14:paraId="0914BBBE" w14:textId="08939ACE" w:rsidR="00202A9C" w:rsidRPr="00BA64DB" w:rsidRDefault="00202A9C" w:rsidP="00202A9C">
      <w:pPr>
        <w:spacing w:after="0" w:line="480" w:lineRule="auto"/>
        <w:rPr>
          <w:rFonts w:ascii="Times New Roman" w:hAnsi="Times New Roman" w:cs="Times New Roman"/>
          <w:bCs/>
          <w:iCs/>
          <w:sz w:val="24"/>
          <w:szCs w:val="24"/>
        </w:rPr>
      </w:pPr>
      <w:r w:rsidRPr="00BA64DB">
        <w:rPr>
          <w:rFonts w:ascii="Times New Roman" w:hAnsi="Times New Roman" w:cs="Times New Roman"/>
          <w:bCs/>
          <w:iCs/>
          <w:sz w:val="24"/>
          <w:szCs w:val="24"/>
        </w:rPr>
        <w:t>WHEREFORE, Defendant pray</w:t>
      </w:r>
      <w:r w:rsidR="000A580A" w:rsidRPr="00BA64DB">
        <w:rPr>
          <w:rFonts w:ascii="Times New Roman" w:hAnsi="Times New Roman" w:cs="Times New Roman"/>
          <w:bCs/>
          <w:iCs/>
          <w:sz w:val="24"/>
          <w:szCs w:val="24"/>
        </w:rPr>
        <w:t>s that this Court:</w:t>
      </w:r>
    </w:p>
    <w:p w14:paraId="7B731580" w14:textId="7B153842" w:rsidR="00202A9C" w:rsidRDefault="000A580A" w:rsidP="00202A9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Dismiss the detainer warrant against Defendant </w:t>
      </w:r>
      <w:r w:rsidR="00202A9C">
        <w:rPr>
          <w:rFonts w:ascii="Times New Roman" w:hAnsi="Times New Roman" w:cs="Times New Roman"/>
          <w:sz w:val="24"/>
          <w:szCs w:val="24"/>
        </w:rPr>
        <w:t>with prejudice</w:t>
      </w:r>
      <w:r>
        <w:rPr>
          <w:rFonts w:ascii="Times New Roman" w:hAnsi="Times New Roman" w:cs="Times New Roman"/>
          <w:sz w:val="24"/>
          <w:szCs w:val="24"/>
        </w:rPr>
        <w:t>;</w:t>
      </w:r>
    </w:p>
    <w:p w14:paraId="33AC35B5" w14:textId="781C258C" w:rsidR="000A580A" w:rsidRDefault="000A580A" w:rsidP="00202A9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Award Defendant damages and injunctive relief;</w:t>
      </w:r>
    </w:p>
    <w:p w14:paraId="638AFA6C" w14:textId="77777777" w:rsidR="000A580A" w:rsidRDefault="000A580A" w:rsidP="00202A9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Award Defendant costs and attorney’s fees; and</w:t>
      </w:r>
    </w:p>
    <w:p w14:paraId="4F95749F" w14:textId="0CE8EB51" w:rsidR="00202A9C" w:rsidRPr="000A580A" w:rsidRDefault="000A580A" w:rsidP="00202A9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Award</w:t>
      </w:r>
      <w:r w:rsidR="00202A9C" w:rsidRPr="000A580A">
        <w:rPr>
          <w:rFonts w:ascii="Times New Roman" w:hAnsi="Times New Roman" w:cs="Times New Roman"/>
          <w:sz w:val="24"/>
          <w:szCs w:val="24"/>
        </w:rPr>
        <w:t xml:space="preserve"> such further relief as may appear to the </w:t>
      </w:r>
      <w:r>
        <w:rPr>
          <w:rFonts w:ascii="Times New Roman" w:hAnsi="Times New Roman" w:cs="Times New Roman"/>
          <w:sz w:val="24"/>
          <w:szCs w:val="24"/>
        </w:rPr>
        <w:t>C</w:t>
      </w:r>
      <w:r w:rsidR="00202A9C" w:rsidRPr="000A580A">
        <w:rPr>
          <w:rFonts w:ascii="Times New Roman" w:hAnsi="Times New Roman" w:cs="Times New Roman"/>
          <w:sz w:val="24"/>
          <w:szCs w:val="24"/>
        </w:rPr>
        <w:t>ourt to be just and proper.</w:t>
      </w:r>
    </w:p>
    <w:p w14:paraId="46C22265" w14:textId="14C10D84" w:rsidR="00202A9C" w:rsidRPr="006B4F7D" w:rsidRDefault="000A580A" w:rsidP="00202A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Dated: </w:t>
      </w:r>
      <w:r w:rsidR="00A93BE2">
        <w:rPr>
          <w:rFonts w:ascii="Times New Roman" w:hAnsi="Times New Roman" w:cs="Times New Roman"/>
          <w:sz w:val="24"/>
          <w:szCs w:val="24"/>
        </w:rPr>
        <w:t>[</w:t>
      </w:r>
      <w:r w:rsidR="00A93BE2" w:rsidRPr="00A93BE2">
        <w:rPr>
          <w:rFonts w:ascii="Times New Roman" w:hAnsi="Times New Roman" w:cs="Times New Roman"/>
          <w:sz w:val="24"/>
          <w:szCs w:val="24"/>
          <w:highlight w:val="yellow"/>
        </w:rPr>
        <w:t>DATE</w:t>
      </w:r>
      <w:r w:rsidR="00A93BE2">
        <w:rPr>
          <w:rFonts w:ascii="Times New Roman" w:hAnsi="Times New Roman" w:cs="Times New Roman"/>
          <w:sz w:val="24"/>
          <w:szCs w:val="24"/>
        </w:rPr>
        <w:t>]</w:t>
      </w:r>
    </w:p>
    <w:p w14:paraId="20AE5A21" w14:textId="77777777" w:rsidR="00202A9C" w:rsidRPr="006B4F7D" w:rsidRDefault="00202A9C" w:rsidP="00202A9C">
      <w:pPr>
        <w:spacing w:after="0" w:line="240" w:lineRule="auto"/>
        <w:rPr>
          <w:rFonts w:ascii="Times New Roman" w:hAnsi="Times New Roman" w:cs="Times New Roman"/>
          <w:sz w:val="24"/>
          <w:szCs w:val="24"/>
        </w:rPr>
      </w:pPr>
    </w:p>
    <w:p w14:paraId="5BC46ADE" w14:textId="77777777" w:rsidR="00202A9C" w:rsidRPr="006B4F7D" w:rsidRDefault="00202A9C" w:rsidP="00202A9C">
      <w:pPr>
        <w:spacing w:after="0" w:line="240" w:lineRule="auto"/>
        <w:ind w:left="4320"/>
        <w:rPr>
          <w:rFonts w:ascii="Times New Roman" w:hAnsi="Times New Roman" w:cs="Times New Roman"/>
          <w:b/>
          <w:sz w:val="24"/>
          <w:szCs w:val="24"/>
        </w:rPr>
      </w:pPr>
      <w:r w:rsidRPr="006B4F7D">
        <w:rPr>
          <w:rFonts w:ascii="Times New Roman" w:hAnsi="Times New Roman" w:cs="Times New Roman"/>
          <w:b/>
          <w:sz w:val="24"/>
          <w:szCs w:val="24"/>
        </w:rPr>
        <w:t>LEGAL AID SOCIETY OF MIDDLE TENNESSEE AND THE CUMBERLANDS</w:t>
      </w:r>
    </w:p>
    <w:p w14:paraId="06A20D72" w14:textId="77777777" w:rsidR="00202A9C" w:rsidRPr="006B4F7D" w:rsidRDefault="00202A9C" w:rsidP="007D75DE">
      <w:pPr>
        <w:spacing w:after="0" w:line="240" w:lineRule="auto"/>
        <w:rPr>
          <w:rFonts w:ascii="Times New Roman" w:hAnsi="Times New Roman" w:cs="Times New Roman"/>
          <w:sz w:val="24"/>
          <w:szCs w:val="24"/>
        </w:rPr>
      </w:pPr>
    </w:p>
    <w:p w14:paraId="6296E734" w14:textId="77777777" w:rsidR="00E35855" w:rsidRPr="00A93BE2"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rPr>
      </w:pPr>
      <w:bookmarkStart w:id="15" w:name="_Hlk138325500"/>
      <w:commentRangeStart w:id="16"/>
      <w:r w:rsidRPr="00A93BE2">
        <w:rPr>
          <w:rStyle w:val="normaltextrun"/>
          <w:b/>
          <w:bCs/>
          <w:i/>
          <w:iCs/>
          <w:highlight w:val="yellow"/>
          <w:u w:val="single"/>
        </w:rPr>
        <w:t>/s/ Elizabeth Leiserson</w:t>
      </w:r>
      <w:commentRangeEnd w:id="16"/>
      <w:r w:rsidR="00A93BE2" w:rsidRPr="00A93BE2">
        <w:rPr>
          <w:rStyle w:val="CommentReference"/>
          <w:rFonts w:ascii="Calibri" w:hAnsi="Calibri" w:cs="Calibri"/>
          <w:sz w:val="24"/>
          <w:szCs w:val="24"/>
          <w:highlight w:val="yellow"/>
        </w:rPr>
        <w:commentReference w:id="16"/>
      </w:r>
      <w:r w:rsidRPr="00A93BE2">
        <w:rPr>
          <w:rStyle w:val="tabchar"/>
          <w:rFonts w:ascii="Calibri" w:hAnsi="Calibri" w:cs="Calibri"/>
          <w:highlight w:val="yellow"/>
        </w:rPr>
        <w:tab/>
      </w:r>
      <w:r w:rsidRPr="00A93BE2">
        <w:rPr>
          <w:rStyle w:val="eop"/>
          <w:highlight w:val="yellow"/>
        </w:rPr>
        <w:t> </w:t>
      </w:r>
    </w:p>
    <w:p w14:paraId="523099EB" w14:textId="77777777" w:rsidR="00E35855" w:rsidRPr="00A93BE2"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rPr>
      </w:pPr>
      <w:r w:rsidRPr="00A93BE2">
        <w:rPr>
          <w:rStyle w:val="normaltextrun"/>
          <w:highlight w:val="yellow"/>
        </w:rPr>
        <w:t xml:space="preserve">Elizabeth Leiserson, </w:t>
      </w:r>
      <w:bookmarkEnd w:id="15"/>
      <w:r w:rsidRPr="00A93BE2">
        <w:rPr>
          <w:rStyle w:val="normaltextrun"/>
          <w:highlight w:val="yellow"/>
        </w:rPr>
        <w:t>BPR # 036095</w:t>
      </w:r>
      <w:r w:rsidRPr="00A93BE2">
        <w:rPr>
          <w:rStyle w:val="eop"/>
          <w:highlight w:val="yellow"/>
        </w:rPr>
        <w:t> </w:t>
      </w:r>
    </w:p>
    <w:p w14:paraId="2D8DB905" w14:textId="77777777" w:rsidR="00E35855" w:rsidRPr="00A93BE2"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rPr>
      </w:pPr>
      <w:r w:rsidRPr="00A93BE2">
        <w:rPr>
          <w:rStyle w:val="normaltextrun"/>
          <w:highlight w:val="yellow"/>
        </w:rPr>
        <w:t>Legal Aid Society of Middle Tennessee</w:t>
      </w:r>
      <w:r w:rsidRPr="00A93BE2">
        <w:rPr>
          <w:rStyle w:val="eop"/>
          <w:highlight w:val="yellow"/>
        </w:rPr>
        <w:t> </w:t>
      </w:r>
    </w:p>
    <w:p w14:paraId="30FFB6D4" w14:textId="77777777" w:rsidR="00E35855" w:rsidRPr="00A93BE2"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rPr>
      </w:pPr>
      <w:r w:rsidRPr="00A93BE2">
        <w:rPr>
          <w:rStyle w:val="normaltextrun"/>
          <w:highlight w:val="yellow"/>
        </w:rPr>
        <w:t>   and the Cumberlands</w:t>
      </w:r>
      <w:r w:rsidRPr="00A93BE2">
        <w:rPr>
          <w:rStyle w:val="eop"/>
          <w:highlight w:val="yellow"/>
        </w:rPr>
        <w:t> </w:t>
      </w:r>
    </w:p>
    <w:p w14:paraId="5D15BDD4" w14:textId="77777777" w:rsidR="00E35855" w:rsidRPr="00A93BE2"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rPr>
      </w:pPr>
      <w:r w:rsidRPr="00A93BE2">
        <w:rPr>
          <w:rStyle w:val="normaltextrun"/>
          <w:highlight w:val="yellow"/>
        </w:rPr>
        <w:t>1321 Murfreesboro Pike, Ste. 400</w:t>
      </w:r>
      <w:r w:rsidRPr="00A93BE2">
        <w:rPr>
          <w:rStyle w:val="eop"/>
          <w:highlight w:val="yellow"/>
        </w:rPr>
        <w:t> </w:t>
      </w:r>
    </w:p>
    <w:p w14:paraId="26204D8D" w14:textId="77777777" w:rsidR="00E35855" w:rsidRPr="005C3DD6"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lang w:val="fr-FR"/>
        </w:rPr>
      </w:pPr>
      <w:r w:rsidRPr="005C3DD6">
        <w:rPr>
          <w:rStyle w:val="normaltextrun"/>
          <w:highlight w:val="yellow"/>
          <w:lang w:val="fr-FR"/>
        </w:rPr>
        <w:t>Nashville, TN 37217</w:t>
      </w:r>
      <w:r w:rsidRPr="005C3DD6">
        <w:rPr>
          <w:rStyle w:val="eop"/>
          <w:highlight w:val="yellow"/>
          <w:lang w:val="fr-FR"/>
        </w:rPr>
        <w:t> </w:t>
      </w:r>
    </w:p>
    <w:p w14:paraId="404BE467" w14:textId="77777777" w:rsidR="00E35855" w:rsidRPr="005C3DD6"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lang w:val="fr-FR"/>
        </w:rPr>
      </w:pPr>
      <w:r w:rsidRPr="005C3DD6">
        <w:rPr>
          <w:rStyle w:val="normaltextrun"/>
          <w:highlight w:val="yellow"/>
          <w:lang w:val="fr-FR"/>
        </w:rPr>
        <w:lastRenderedPageBreak/>
        <w:t>Tel: 615-844-7151</w:t>
      </w:r>
      <w:r w:rsidRPr="005C3DD6">
        <w:rPr>
          <w:rStyle w:val="eop"/>
          <w:highlight w:val="yellow"/>
          <w:lang w:val="fr-FR"/>
        </w:rPr>
        <w:t> </w:t>
      </w:r>
    </w:p>
    <w:p w14:paraId="3A861684" w14:textId="77777777" w:rsidR="00E35855" w:rsidRPr="005C3DD6" w:rsidRDefault="00E35855" w:rsidP="00A257AC">
      <w:pPr>
        <w:pStyle w:val="paragraph"/>
        <w:spacing w:before="0" w:beforeAutospacing="0" w:after="0" w:afterAutospacing="0"/>
        <w:ind w:firstLine="4320"/>
        <w:textAlignment w:val="baseline"/>
        <w:rPr>
          <w:rFonts w:ascii="Segoe UI" w:hAnsi="Segoe UI" w:cs="Segoe UI"/>
          <w:sz w:val="18"/>
          <w:szCs w:val="18"/>
          <w:highlight w:val="yellow"/>
          <w:lang w:val="fr-FR"/>
        </w:rPr>
      </w:pPr>
      <w:r w:rsidRPr="005C3DD6">
        <w:rPr>
          <w:rStyle w:val="normaltextrun"/>
          <w:highlight w:val="yellow"/>
          <w:lang w:val="fr-FR"/>
        </w:rPr>
        <w:t>Fax: 615-244-4920</w:t>
      </w:r>
      <w:r w:rsidRPr="005C3DD6">
        <w:rPr>
          <w:rStyle w:val="eop"/>
          <w:highlight w:val="yellow"/>
          <w:lang w:val="fr-FR"/>
        </w:rPr>
        <w:t> </w:t>
      </w:r>
    </w:p>
    <w:p w14:paraId="451A8A4A" w14:textId="77777777" w:rsidR="00E35855" w:rsidRPr="005C3DD6" w:rsidRDefault="00E35855" w:rsidP="00A257AC">
      <w:pPr>
        <w:pStyle w:val="paragraph"/>
        <w:spacing w:before="0" w:beforeAutospacing="0" w:after="0" w:afterAutospacing="0"/>
        <w:ind w:firstLine="4320"/>
        <w:textAlignment w:val="baseline"/>
        <w:rPr>
          <w:rFonts w:ascii="Segoe UI" w:hAnsi="Segoe UI" w:cs="Segoe UI"/>
          <w:sz w:val="18"/>
          <w:szCs w:val="18"/>
          <w:lang w:val="fr-FR"/>
        </w:rPr>
      </w:pPr>
      <w:hyperlink r:id="rId15" w:tgtFrame="_blank" w:history="1">
        <w:r w:rsidRPr="005C3DD6">
          <w:rPr>
            <w:rStyle w:val="normaltextrun"/>
            <w:color w:val="0000FF"/>
            <w:highlight w:val="yellow"/>
            <w:u w:val="single"/>
            <w:lang w:val="fr-FR"/>
          </w:rPr>
          <w:t>eleiserson@las.org</w:t>
        </w:r>
      </w:hyperlink>
      <w:r w:rsidRPr="005C3DD6">
        <w:rPr>
          <w:rStyle w:val="eop"/>
          <w:lang w:val="fr-FR"/>
        </w:rPr>
        <w:t> </w:t>
      </w:r>
    </w:p>
    <w:p w14:paraId="26380589" w14:textId="77777777" w:rsidR="00E35855" w:rsidRPr="005C3DD6" w:rsidRDefault="00E35855" w:rsidP="00A257AC">
      <w:pPr>
        <w:pStyle w:val="paragraph"/>
        <w:spacing w:before="0" w:beforeAutospacing="0" w:after="0" w:afterAutospacing="0"/>
        <w:ind w:firstLine="4320"/>
        <w:textAlignment w:val="baseline"/>
        <w:rPr>
          <w:rFonts w:ascii="Segoe UI" w:hAnsi="Segoe UI" w:cs="Segoe UI"/>
          <w:sz w:val="18"/>
          <w:szCs w:val="18"/>
          <w:lang w:val="fr-FR"/>
        </w:rPr>
      </w:pPr>
      <w:r w:rsidRPr="005C3DD6">
        <w:rPr>
          <w:rStyle w:val="eop"/>
          <w:lang w:val="fr-FR"/>
        </w:rPr>
        <w:t> </w:t>
      </w:r>
    </w:p>
    <w:p w14:paraId="4E392BA4" w14:textId="77777777" w:rsidR="00E35855" w:rsidRDefault="00E35855" w:rsidP="00A257AC">
      <w:pPr>
        <w:pStyle w:val="paragraph"/>
        <w:spacing w:before="0" w:beforeAutospacing="0" w:after="0" w:afterAutospacing="0"/>
        <w:ind w:firstLine="4320"/>
        <w:textAlignment w:val="baseline"/>
        <w:rPr>
          <w:rFonts w:ascii="Segoe UI" w:hAnsi="Segoe UI" w:cs="Segoe UI"/>
          <w:sz w:val="18"/>
          <w:szCs w:val="18"/>
        </w:rPr>
      </w:pPr>
      <w:r>
        <w:rPr>
          <w:rStyle w:val="normaltextrun"/>
          <w:i/>
          <w:iCs/>
        </w:rPr>
        <w:t>Attorney for Defendant</w:t>
      </w:r>
      <w:r>
        <w:rPr>
          <w:rStyle w:val="eop"/>
        </w:rPr>
        <w:t> </w:t>
      </w:r>
    </w:p>
    <w:p w14:paraId="42A87647" w14:textId="77777777" w:rsidR="00202A9C" w:rsidRDefault="00202A9C" w:rsidP="00202A9C">
      <w:pPr>
        <w:rPr>
          <w:rFonts w:ascii="Times New Roman" w:hAnsi="Times New Roman" w:cs="Times New Roman"/>
          <w:sz w:val="24"/>
          <w:szCs w:val="24"/>
        </w:rPr>
      </w:pPr>
    </w:p>
    <w:p w14:paraId="53CE5EEE" w14:textId="77777777" w:rsidR="006F3251" w:rsidRDefault="006F3251" w:rsidP="00202A9C">
      <w:pPr>
        <w:rPr>
          <w:rFonts w:ascii="Times New Roman" w:hAnsi="Times New Roman" w:cs="Times New Roman"/>
          <w:sz w:val="24"/>
          <w:szCs w:val="24"/>
        </w:rPr>
      </w:pPr>
    </w:p>
    <w:p w14:paraId="2F1CA1D6" w14:textId="77777777" w:rsidR="006F3251" w:rsidRPr="006B4F7D" w:rsidRDefault="006F3251" w:rsidP="00202A9C">
      <w:pPr>
        <w:rPr>
          <w:rFonts w:ascii="Times New Roman" w:hAnsi="Times New Roman" w:cs="Times New Roman"/>
          <w:sz w:val="24"/>
          <w:szCs w:val="24"/>
        </w:rPr>
      </w:pPr>
    </w:p>
    <w:p w14:paraId="78794C41" w14:textId="77777777" w:rsidR="006F3251" w:rsidRPr="00173195" w:rsidRDefault="006F3251" w:rsidP="006F3251">
      <w:pPr>
        <w:tabs>
          <w:tab w:val="left" w:pos="-1080"/>
          <w:tab w:val="left" w:pos="-720"/>
          <w:tab w:val="left" w:pos="0"/>
          <w:tab w:val="left" w:pos="630"/>
          <w:tab w:val="left" w:pos="144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b/>
          <w:bCs/>
          <w:sz w:val="24"/>
          <w:szCs w:val="24"/>
        </w:rPr>
      </w:pPr>
      <w:r w:rsidRPr="00173195">
        <w:rPr>
          <w:rFonts w:ascii="Times New Roman" w:eastAsia="Times New Roman" w:hAnsi="Times New Roman" w:cs="Times New Roman"/>
          <w:b/>
          <w:bCs/>
          <w:sz w:val="24"/>
          <w:szCs w:val="24"/>
        </w:rPr>
        <w:t>CERTIFICATE OF SERVICE</w:t>
      </w:r>
    </w:p>
    <w:p w14:paraId="606F5EAF" w14:textId="77777777" w:rsidR="006F3251" w:rsidRPr="00173195" w:rsidRDefault="006F3251" w:rsidP="006F3251">
      <w:pPr>
        <w:tabs>
          <w:tab w:val="left" w:pos="-1080"/>
          <w:tab w:val="left" w:pos="-720"/>
          <w:tab w:val="left" w:pos="0"/>
          <w:tab w:val="left" w:pos="630"/>
          <w:tab w:val="left" w:pos="144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eastAsia="Times New Roman" w:hAnsi="Times New Roman" w:cs="Times New Roman"/>
          <w:b/>
          <w:bCs/>
          <w:sz w:val="24"/>
          <w:szCs w:val="24"/>
        </w:rPr>
      </w:pPr>
    </w:p>
    <w:p w14:paraId="2B905031" w14:textId="6AF2EF8B" w:rsidR="006F3251" w:rsidRDefault="006F3251" w:rsidP="00A257AC">
      <w:pPr>
        <w:widowControl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 xml:space="preserve">I hereby certify </w:t>
      </w:r>
      <w:r w:rsidR="00A93BE2">
        <w:rPr>
          <w:rFonts w:ascii="Times New Roman" w:eastAsia="Times New Roman" w:hAnsi="Times New Roman" w:cs="Times New Roman"/>
          <w:sz w:val="24"/>
          <w:szCs w:val="20"/>
        </w:rPr>
        <w:t xml:space="preserve">the foregoing has been sent to Counsel for the Plaintiff </w:t>
      </w:r>
      <w:commentRangeStart w:id="17"/>
      <w:r w:rsidR="00A93BE2">
        <w:rPr>
          <w:rFonts w:ascii="Times New Roman" w:eastAsia="Times New Roman" w:hAnsi="Times New Roman" w:cs="Times New Roman"/>
          <w:sz w:val="24"/>
          <w:szCs w:val="20"/>
        </w:rPr>
        <w:t>via email and the Court’s e-File system</w:t>
      </w:r>
      <w:r w:rsidR="000A580A">
        <w:rPr>
          <w:rFonts w:ascii="Times New Roman" w:eastAsia="Times New Roman" w:hAnsi="Times New Roman" w:cs="Times New Roman"/>
          <w:sz w:val="24"/>
          <w:szCs w:val="20"/>
        </w:rPr>
        <w:t xml:space="preserve"> </w:t>
      </w:r>
      <w:commentRangeEnd w:id="17"/>
      <w:r w:rsidR="00E124AE">
        <w:rPr>
          <w:rStyle w:val="CommentReference"/>
          <w:rFonts w:ascii="Times New Roman" w:eastAsia="Times New Roman" w:hAnsi="Times New Roman" w:cs="Times New Roman"/>
          <w:sz w:val="24"/>
          <w:szCs w:val="20"/>
        </w:rPr>
        <w:commentReference w:id="17"/>
      </w:r>
      <w:r w:rsidR="00A93BE2">
        <w:rPr>
          <w:rFonts w:ascii="Times New Roman" w:eastAsia="Times New Roman" w:hAnsi="Times New Roman" w:cs="Times New Roman"/>
          <w:sz w:val="24"/>
          <w:szCs w:val="20"/>
        </w:rPr>
        <w:t>on [</w:t>
      </w:r>
      <w:r w:rsidR="00A93BE2" w:rsidRPr="00A93BE2">
        <w:rPr>
          <w:rFonts w:ascii="Times New Roman" w:eastAsia="Times New Roman" w:hAnsi="Times New Roman" w:cs="Times New Roman"/>
          <w:sz w:val="24"/>
          <w:szCs w:val="20"/>
          <w:highlight w:val="yellow"/>
        </w:rPr>
        <w:t>date</w:t>
      </w:r>
      <w:r w:rsidR="00A93BE2">
        <w:rPr>
          <w:rFonts w:ascii="Times New Roman" w:eastAsia="Times New Roman" w:hAnsi="Times New Roman" w:cs="Times New Roman"/>
          <w:sz w:val="24"/>
          <w:szCs w:val="20"/>
        </w:rPr>
        <w:t>].</w:t>
      </w:r>
    </w:p>
    <w:p w14:paraId="5A6141DD" w14:textId="77777777" w:rsidR="006F3251" w:rsidRPr="00173195" w:rsidRDefault="006F3251" w:rsidP="006F3251">
      <w:pPr>
        <w:widowControl w:val="0"/>
        <w:spacing w:after="0" w:line="240" w:lineRule="auto"/>
        <w:rPr>
          <w:rFonts w:ascii="Times New Roman" w:eastAsia="Times New Roman" w:hAnsi="Times New Roman" w:cs="Times New Roman"/>
          <w:sz w:val="24"/>
          <w:szCs w:val="20"/>
        </w:rPr>
      </w:pPr>
    </w:p>
    <w:p w14:paraId="6028A1DC" w14:textId="77777777" w:rsidR="006F3251" w:rsidRPr="00173195" w:rsidRDefault="006F3251" w:rsidP="006F3251">
      <w:pPr>
        <w:widowControl w:val="0"/>
        <w:spacing w:after="0" w:line="240" w:lineRule="auto"/>
        <w:jc w:val="both"/>
        <w:rPr>
          <w:rFonts w:ascii="Times New Roman" w:eastAsia="Times New Roman" w:hAnsi="Times New Roman" w:cs="Times New Roman"/>
          <w:sz w:val="24"/>
          <w:szCs w:val="24"/>
        </w:rPr>
      </w:pPr>
    </w:p>
    <w:p w14:paraId="11D66851" w14:textId="6E8838B1" w:rsidR="006F3251" w:rsidRPr="00A93BE2" w:rsidRDefault="006F3251" w:rsidP="006F3251">
      <w:pPr>
        <w:spacing w:after="0" w:line="240" w:lineRule="auto"/>
        <w:jc w:val="both"/>
        <w:rPr>
          <w:rFonts w:ascii="Times New Roman" w:eastAsia="Times New Roman" w:hAnsi="Times New Roman" w:cs="Times New Roman"/>
          <w:b/>
          <w:bCs/>
          <w:i/>
          <w:iCs/>
          <w:sz w:val="24"/>
          <w:szCs w:val="20"/>
          <w:u w:val="single"/>
        </w:rPr>
      </w:pP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00A93BE2">
        <w:rPr>
          <w:rFonts w:ascii="Times New Roman" w:eastAsia="Times New Roman" w:hAnsi="Times New Roman" w:cs="Times New Roman"/>
          <w:b/>
          <w:bCs/>
          <w:i/>
          <w:iCs/>
          <w:sz w:val="24"/>
          <w:szCs w:val="20"/>
          <w:u w:val="single"/>
        </w:rPr>
        <w:t>/s/ [</w:t>
      </w:r>
      <w:r w:rsidR="00A93BE2" w:rsidRPr="00A93BE2">
        <w:rPr>
          <w:rFonts w:ascii="Times New Roman" w:eastAsia="Times New Roman" w:hAnsi="Times New Roman" w:cs="Times New Roman"/>
          <w:b/>
          <w:bCs/>
          <w:i/>
          <w:iCs/>
          <w:sz w:val="24"/>
          <w:szCs w:val="20"/>
          <w:highlight w:val="yellow"/>
          <w:u w:val="single"/>
        </w:rPr>
        <w:t>Name</w:t>
      </w:r>
      <w:r w:rsidR="00A93BE2">
        <w:rPr>
          <w:rFonts w:ascii="Times New Roman" w:eastAsia="Times New Roman" w:hAnsi="Times New Roman" w:cs="Times New Roman"/>
          <w:b/>
          <w:bCs/>
          <w:i/>
          <w:iCs/>
          <w:sz w:val="24"/>
          <w:szCs w:val="20"/>
          <w:u w:val="single"/>
        </w:rPr>
        <w:t>]</w:t>
      </w:r>
    </w:p>
    <w:p w14:paraId="696C9469" w14:textId="7F3265D2" w:rsidR="006D47B6" w:rsidRDefault="006F3251" w:rsidP="006F3251">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Pr="00173195">
        <w:rPr>
          <w:rFonts w:ascii="Times New Roman" w:eastAsia="Times New Roman" w:hAnsi="Times New Roman" w:cs="Times New Roman"/>
          <w:sz w:val="24"/>
          <w:szCs w:val="20"/>
        </w:rPr>
        <w:tab/>
      </w:r>
      <w:r w:rsidR="00A93BE2">
        <w:rPr>
          <w:rFonts w:ascii="Times New Roman" w:eastAsia="Times New Roman" w:hAnsi="Times New Roman" w:cs="Times New Roman"/>
          <w:sz w:val="24"/>
          <w:szCs w:val="20"/>
        </w:rPr>
        <w:t>[</w:t>
      </w:r>
      <w:r w:rsidR="00A93BE2" w:rsidRPr="00A93BE2">
        <w:rPr>
          <w:rFonts w:ascii="Times New Roman" w:eastAsia="Times New Roman" w:hAnsi="Times New Roman" w:cs="Times New Roman"/>
          <w:sz w:val="24"/>
          <w:szCs w:val="20"/>
          <w:highlight w:val="yellow"/>
        </w:rPr>
        <w:t>Name</w:t>
      </w:r>
      <w:r w:rsidR="00A93BE2">
        <w:rPr>
          <w:rFonts w:ascii="Times New Roman" w:eastAsia="Times New Roman" w:hAnsi="Times New Roman" w:cs="Times New Roman"/>
          <w:sz w:val="24"/>
          <w:szCs w:val="20"/>
        </w:rPr>
        <w:t>]</w:t>
      </w:r>
    </w:p>
    <w:sectPr w:rsidR="006D47B6" w:rsidSect="008A016A">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izabeth Leiserson" w:date="2023-06-22T11:20:00Z" w:initials="EL">
    <w:p w14:paraId="710A6B4B" w14:textId="77777777" w:rsidR="00D03B65" w:rsidRDefault="00D03B65" w:rsidP="00D03B65">
      <w:pPr>
        <w:pStyle w:val="CommentText"/>
      </w:pPr>
      <w:r>
        <w:rPr>
          <w:rStyle w:val="CommentReference"/>
        </w:rPr>
        <w:annotationRef/>
      </w:r>
      <w:r>
        <w:t>Can also file as just an answer. Change the title and delete the "Counterclaims" section at the end.</w:t>
      </w:r>
    </w:p>
  </w:comment>
  <w:comment w:id="1" w:author="Elizabeth Leiserson" w:date="2023-06-22T11:21:00Z" w:initials="EL">
    <w:p w14:paraId="37C31F12" w14:textId="77777777" w:rsidR="00D03B65" w:rsidRDefault="00D03B65" w:rsidP="00D03B65">
      <w:pPr>
        <w:pStyle w:val="CommentText"/>
      </w:pPr>
      <w:r>
        <w:rPr>
          <w:rStyle w:val="CommentReference"/>
        </w:rPr>
        <w:annotationRef/>
      </w:r>
      <w:r>
        <w:t xml:space="preserve">Can give addresses if you want. </w:t>
      </w:r>
    </w:p>
  </w:comment>
  <w:comment w:id="2" w:author="Elizabeth Leiserson" w:date="2023-06-29T10:48:00Z" w:initials="EL">
    <w:p w14:paraId="538BD512" w14:textId="77777777" w:rsidR="00D03B65" w:rsidRDefault="00D03B65" w:rsidP="00D03B65">
      <w:pPr>
        <w:pStyle w:val="CommentText"/>
      </w:pPr>
      <w:r>
        <w:rPr>
          <w:rStyle w:val="CommentReference"/>
        </w:rPr>
        <w:annotationRef/>
      </w:r>
      <w:r>
        <w:t xml:space="preserve">Tell the story, in numbered paragraphs. This is an example. </w:t>
      </w:r>
    </w:p>
    <w:p w14:paraId="367A0415" w14:textId="77777777" w:rsidR="00D03B65" w:rsidRDefault="00D03B65" w:rsidP="00D03B65">
      <w:pPr>
        <w:pStyle w:val="CommentText"/>
      </w:pPr>
    </w:p>
    <w:p w14:paraId="01FB6CBA" w14:textId="77777777" w:rsidR="00D03B65" w:rsidRDefault="00D03B65" w:rsidP="00D03B65">
      <w:pPr>
        <w:pStyle w:val="CommentText"/>
      </w:pPr>
      <w:r>
        <w:t xml:space="preserve">Keep it simple. One "thought" per paragraph (such that, at least theoretically, the other side could respond with just "Admitted" or "Denied" to each one). </w:t>
      </w:r>
    </w:p>
    <w:p w14:paraId="2586DFE8" w14:textId="77777777" w:rsidR="00D03B65" w:rsidRDefault="00D03B65" w:rsidP="00D03B65">
      <w:pPr>
        <w:pStyle w:val="CommentText"/>
      </w:pPr>
    </w:p>
    <w:p w14:paraId="424893EF" w14:textId="77777777" w:rsidR="00D03B65" w:rsidRDefault="00D03B65" w:rsidP="00D03B65">
      <w:pPr>
        <w:pStyle w:val="CommentText"/>
      </w:pPr>
      <w:r>
        <w:t>You do NOT need to include every single thing that happened (or didn't happen). The focus is on establishing our affirmative case and central narrative. Refuting every accusation thrown the tenant's way is rarely a good use of space.</w:t>
      </w:r>
    </w:p>
  </w:comment>
  <w:comment w:id="4" w:author="Elizabeth Leiserson" w:date="2023-06-22T11:22:00Z" w:initials="EL">
    <w:p w14:paraId="7BEC1156" w14:textId="7DEC8F46" w:rsidR="008575B3" w:rsidRDefault="00A93BE2" w:rsidP="00DB5BF3">
      <w:pPr>
        <w:pStyle w:val="CommentText"/>
      </w:pPr>
      <w:r>
        <w:rPr>
          <w:rStyle w:val="CommentReference"/>
        </w:rPr>
        <w:annotationRef/>
      </w:r>
      <w:r w:rsidR="008575B3">
        <w:t>Our most common ones are included here. Pick and choose, supplement as needed.</w:t>
      </w:r>
    </w:p>
  </w:comment>
  <w:comment w:id="5" w:author="Elizabeth Leiserson" w:date="2026-03-12T15:25:00Z" w:initials="EL">
    <w:p w14:paraId="66DD31E3" w14:textId="77777777" w:rsidR="00562970" w:rsidRDefault="00562970" w:rsidP="00562970">
      <w:pPr>
        <w:pStyle w:val="CommentText"/>
      </w:pPr>
      <w:r>
        <w:rPr>
          <w:rStyle w:val="CommentReference"/>
        </w:rPr>
        <w:annotationRef/>
      </w:r>
      <w:r>
        <w:t xml:space="preserve">The Trump administration had planned to abolish this, but they turned their interim final rule into a proposed rule. That means the 30-day notice rule remains good law. </w:t>
      </w:r>
      <w:hyperlink r:id="rId1" w:history="1">
        <w:r w:rsidRPr="001F5B63">
          <w:rPr>
            <w:rStyle w:val="Hyperlink"/>
          </w:rPr>
          <w:t>https://public-inspection.federalregister.gov/2026-04990.pdf</w:t>
        </w:r>
      </w:hyperlink>
    </w:p>
  </w:comment>
  <w:comment w:id="6" w:author="Elizabeth Leiserson" w:date="2025-01-13T12:17:00Z" w:initials="EL">
    <w:p w14:paraId="2D1DCFDB" w14:textId="399711A2" w:rsidR="00FD2B36" w:rsidRDefault="00FD2B36" w:rsidP="00FD2B36">
      <w:pPr>
        <w:pStyle w:val="CommentText"/>
      </w:pPr>
      <w:r>
        <w:rPr>
          <w:rStyle w:val="CommentReference"/>
        </w:rPr>
        <w:annotationRef/>
      </w:r>
      <w:r>
        <w:t xml:space="preserve">Or pick the correct regulatory cite based on the specific subsidy at issue: </w:t>
      </w:r>
    </w:p>
    <w:p w14:paraId="6BBBCC90" w14:textId="77777777" w:rsidR="00FD2B36" w:rsidRDefault="00FD2B36" w:rsidP="00FD2B36">
      <w:pPr>
        <w:pStyle w:val="CommentText"/>
      </w:pPr>
    </w:p>
    <w:p w14:paraId="2AF6EB6E" w14:textId="77777777" w:rsidR="00FD2B36" w:rsidRDefault="00FD2B36" w:rsidP="00FD2B36">
      <w:pPr>
        <w:pStyle w:val="CommentText"/>
      </w:pPr>
      <w:r>
        <w:t>24 C.F.R. § 247.4(c) (certain PBRA and other HUD multifamily properties listed in 24 C.F.R. § 247.2); 24 C.F.R. § 880.607(c)(6) (Section 8 New Construction, Section 8 Substantial Rehabilitation under Part 881, and Section 8 Housing Assistance Payments Program under Part 883); 24 C.F.R. § 884.216(d) (Section 8 New Construction Set Aside for Section 515 Rural Rental Housing Projects); 24 C.F.R. §§ 886.127(c); 886.327(c) (Section 8 Special Allocations); 24 C.F.R. § 891.425(d) (Supportive housing for the elderly and persons with disabilities); 24 C.F.R. §§ 966.4(l)(3)(i)(A); 966.4(q) (public housing).</w:t>
      </w:r>
    </w:p>
  </w:comment>
  <w:comment w:id="7" w:author="Elizabeth Leiserson" w:date="2023-06-22T11:27:00Z" w:initials="EL">
    <w:p w14:paraId="34E25941" w14:textId="062B06FC" w:rsidR="00C81A8C" w:rsidRDefault="00C81A8C" w:rsidP="00DB5BF3">
      <w:pPr>
        <w:pStyle w:val="CommentText"/>
      </w:pPr>
      <w:r>
        <w:rPr>
          <w:rStyle w:val="CommentReference"/>
        </w:rPr>
        <w:annotationRef/>
      </w:r>
      <w:r>
        <w:t>Include only if we have affirmative claims. Some common ones listed below. Edit and delete as warranted.</w:t>
      </w:r>
    </w:p>
  </w:comment>
  <w:comment w:id="8" w:author="Elizabeth Leiserson" w:date="2025-05-12T13:46:00Z" w:initials="EL">
    <w:p w14:paraId="79CF7C95" w14:textId="77777777" w:rsidR="001666D1" w:rsidRDefault="001666D1" w:rsidP="001666D1">
      <w:pPr>
        <w:pStyle w:val="CommentText"/>
      </w:pPr>
      <w:r>
        <w:rPr>
          <w:rStyle w:val="CommentReference"/>
        </w:rPr>
        <w:annotationRef/>
      </w:r>
      <w:r>
        <w:t xml:space="preserve">The FHA also has retaliation protections - consider bringing a retaliation claim alongside your Fair Housing claim. </w:t>
      </w:r>
    </w:p>
  </w:comment>
  <w:comment w:id="9" w:author="Trina Hughes" w:date="2024-07-10T10:30:00Z" w:initials="TH">
    <w:p w14:paraId="72A63964" w14:textId="0A41C053" w:rsidR="636E5B23" w:rsidRDefault="4560E540" w:rsidP="4560E540">
      <w:pPr>
        <w:pStyle w:val="CommentText"/>
      </w:pPr>
      <w:r>
        <w:t xml:space="preserve">When making a VAWA claim, plan to make a sex discrimination claim as well. Depending on the specific situation, disability discrimination may also be appropriate. </w:t>
      </w:r>
      <w:r w:rsidR="636E5B23">
        <w:rPr>
          <w:rStyle w:val="CommentReference"/>
        </w:rPr>
        <w:annotationRef/>
      </w:r>
    </w:p>
  </w:comment>
  <w:comment w:id="10" w:author="Elizabeth Leiserson" w:date="2025-05-12T13:45:00Z" w:initials="EL">
    <w:p w14:paraId="47BAC6FB" w14:textId="77777777" w:rsidR="001666D1" w:rsidRDefault="001666D1" w:rsidP="001666D1">
      <w:pPr>
        <w:pStyle w:val="CommentText"/>
      </w:pPr>
      <w:r>
        <w:rPr>
          <w:rStyle w:val="CommentReference"/>
        </w:rPr>
        <w:annotationRef/>
      </w:r>
      <w:r>
        <w:t xml:space="preserve">Remember - “regarded as” can also be a claim, if tenant doesn’t self-identify as belonging to the group. </w:t>
      </w:r>
    </w:p>
  </w:comment>
  <w:comment w:id="11" w:author="Elizabeth Leiserson" w:date="2023-07-21T14:09:00Z" w:initials="EL">
    <w:p w14:paraId="6A3807EE" w14:textId="725B9583" w:rsidR="00CD019F" w:rsidRDefault="00E91CDF" w:rsidP="00CD019F">
      <w:pPr>
        <w:pStyle w:val="CommentText"/>
      </w:pPr>
      <w:r>
        <w:rPr>
          <w:rStyle w:val="CommentReference"/>
        </w:rPr>
        <w:annotationRef/>
      </w:r>
      <w:r w:rsidR="00CD019F">
        <w:t>Some other TCPA subsections that may come in handy, if LL misrepresented conditions:</w:t>
      </w:r>
    </w:p>
    <w:p w14:paraId="029523D6" w14:textId="77777777" w:rsidR="00CD019F" w:rsidRDefault="00CD019F" w:rsidP="00CD019F">
      <w:pPr>
        <w:pStyle w:val="CommentText"/>
      </w:pPr>
    </w:p>
    <w:p w14:paraId="2E8C6B36" w14:textId="77777777" w:rsidR="00CD019F" w:rsidRDefault="00CD019F" w:rsidP="00CD019F">
      <w:pPr>
        <w:pStyle w:val="CommentText"/>
      </w:pPr>
      <w:r>
        <w:rPr>
          <w:color w:val="212121"/>
        </w:rPr>
        <w:t>(5) Representing that goods or services have sponsorship, approval, characteristics, ingredients, uses, benefits or quantities that they do not have or that a person has a sponsorship approval, status, affiliation or connection that such person does not have;</w:t>
      </w:r>
    </w:p>
    <w:p w14:paraId="5BF9BF60" w14:textId="77777777" w:rsidR="00CD019F" w:rsidRDefault="00CD019F" w:rsidP="00CD019F">
      <w:pPr>
        <w:pStyle w:val="CommentText"/>
      </w:pPr>
    </w:p>
    <w:p w14:paraId="172F9EAB" w14:textId="77777777" w:rsidR="00CD019F" w:rsidRDefault="00CD019F" w:rsidP="00CD019F">
      <w:pPr>
        <w:pStyle w:val="CommentText"/>
      </w:pPr>
    </w:p>
    <w:p w14:paraId="18E6C2F7" w14:textId="77777777" w:rsidR="00CD019F" w:rsidRDefault="00CD019F" w:rsidP="00CD019F">
      <w:pPr>
        <w:pStyle w:val="CommentText"/>
      </w:pPr>
      <w:r>
        <w:rPr>
          <w:color w:val="212121"/>
        </w:rPr>
        <w:t>(6) Representing that goods are original or new if they are deteriorated, altered to the point of decreasing the value, reconditioned, reclaimed, used or secondhand;</w:t>
      </w:r>
    </w:p>
    <w:p w14:paraId="67D24416" w14:textId="77777777" w:rsidR="00CD019F" w:rsidRDefault="00CD019F" w:rsidP="00CD019F">
      <w:pPr>
        <w:pStyle w:val="CommentText"/>
      </w:pPr>
    </w:p>
    <w:p w14:paraId="088AEF57" w14:textId="77777777" w:rsidR="00CD019F" w:rsidRDefault="00CD019F" w:rsidP="00CD019F">
      <w:pPr>
        <w:pStyle w:val="CommentText"/>
      </w:pPr>
    </w:p>
    <w:p w14:paraId="550C8CEF" w14:textId="77777777" w:rsidR="00CD019F" w:rsidRDefault="00CD019F" w:rsidP="00CD019F">
      <w:pPr>
        <w:pStyle w:val="CommentText"/>
      </w:pPr>
      <w:r>
        <w:rPr>
          <w:color w:val="212121"/>
        </w:rPr>
        <w:t>(7) Representing that goods or services are of a particular standard, quality or grade, or that goods are of a particular style or model, if they are of another;</w:t>
      </w:r>
    </w:p>
    <w:p w14:paraId="5D878CBB" w14:textId="77777777" w:rsidR="00CD019F" w:rsidRDefault="00CD019F" w:rsidP="00CD019F">
      <w:pPr>
        <w:pStyle w:val="CommentText"/>
      </w:pPr>
    </w:p>
    <w:p w14:paraId="342ECEF5" w14:textId="77777777" w:rsidR="00CD019F" w:rsidRDefault="00CD019F" w:rsidP="00CD019F">
      <w:pPr>
        <w:pStyle w:val="CommentText"/>
      </w:pPr>
      <w:r>
        <w:rPr>
          <w:color w:val="1F1F1F"/>
        </w:rPr>
        <w:t>(11) Making false or misleading statements of fact concerning the reasons for, existence of, or amounts of price reductions;</w:t>
      </w:r>
      <w:r>
        <w:rPr>
          <w:color w:val="212121"/>
        </w:rPr>
        <w:t xml:space="preserve"> </w:t>
      </w:r>
    </w:p>
    <w:p w14:paraId="02C64B80" w14:textId="77777777" w:rsidR="00CD019F" w:rsidRDefault="00CD019F" w:rsidP="00CD019F">
      <w:pPr>
        <w:pStyle w:val="CommentText"/>
      </w:pPr>
    </w:p>
    <w:p w14:paraId="0C4B0D59" w14:textId="77777777" w:rsidR="00CD019F" w:rsidRDefault="00CD019F" w:rsidP="00CD019F">
      <w:pPr>
        <w:pStyle w:val="CommentText"/>
      </w:pPr>
      <w:r>
        <w:rPr>
          <w:color w:val="1F1F1F"/>
        </w:rPr>
        <w:t>(19) Representing that a guarantee or warranty confers or involves rights or remedies which it does not have or involve; provided, that nothing in this subdivision (b)(19) shall be construed to alter the implied warranty of merchantability as defined in </w:t>
      </w:r>
      <w:hyperlink r:id="rId2" w:history="1">
        <w:r w:rsidRPr="00F84A62">
          <w:rPr>
            <w:rStyle w:val="Hyperlink"/>
          </w:rPr>
          <w:t>§ 47-2-314</w:t>
        </w:r>
      </w:hyperlink>
      <w:r>
        <w:rPr>
          <w:color w:val="1F1F1F"/>
        </w:rPr>
        <w:t>;</w:t>
      </w:r>
    </w:p>
    <w:p w14:paraId="364BCA61" w14:textId="77777777" w:rsidR="00CD019F" w:rsidRDefault="00CD019F" w:rsidP="00CD019F">
      <w:pPr>
        <w:pStyle w:val="CommentText"/>
      </w:pPr>
    </w:p>
    <w:p w14:paraId="149FBACE" w14:textId="77777777" w:rsidR="00CD019F" w:rsidRDefault="00CD019F" w:rsidP="00CD019F">
      <w:pPr>
        <w:pStyle w:val="CommentText"/>
      </w:pPr>
    </w:p>
    <w:p w14:paraId="6882C273" w14:textId="77777777" w:rsidR="00CD019F" w:rsidRDefault="00CD019F" w:rsidP="00CD019F">
      <w:pPr>
        <w:pStyle w:val="CommentText"/>
      </w:pPr>
      <w:r>
        <w:rPr>
          <w:color w:val="1F1F1F"/>
        </w:rPr>
        <w:t>(21) Using statements or illustrations in any advertisement which create a false impression of the grade, quality, quantity, make, value, age, size, color, usability or origin of the goods or services offered, or which may otherwise misrepresent the goods or services in such a manner that later, on disclosure of the true facts, there is a likelihood that the buyer may be switched from the advertised goods or services to other goods or services;</w:t>
      </w:r>
    </w:p>
  </w:comment>
  <w:comment w:id="12" w:author="Elizabeth Leiserson" w:date="2024-03-08T11:42:00Z" w:initials="EL">
    <w:p w14:paraId="3E78D738" w14:textId="5839815E" w:rsidR="00753EE6" w:rsidRDefault="00753EE6" w:rsidP="00753EE6">
      <w:pPr>
        <w:pStyle w:val="CommentText"/>
      </w:pPr>
      <w:r>
        <w:rPr>
          <w:rStyle w:val="CommentReference"/>
        </w:rPr>
        <w:annotationRef/>
      </w:r>
      <w:r>
        <w:t>Can also use conversion for LL stealing tenant’s belongings.</w:t>
      </w:r>
    </w:p>
  </w:comment>
  <w:comment w:id="13" w:author="Elizabeth Leiserson" w:date="2024-07-09T16:13:00Z" w:initials="EL">
    <w:p w14:paraId="23FC728C" w14:textId="77777777" w:rsidR="006D4015" w:rsidRDefault="009E489E" w:rsidP="006D4015">
      <w:pPr>
        <w:pStyle w:val="CommentText"/>
      </w:pPr>
      <w:r>
        <w:rPr>
          <w:rStyle w:val="CommentReference"/>
        </w:rPr>
        <w:annotationRef/>
      </w:r>
      <w:r w:rsidR="006D4015">
        <w:t>There is no specific right of action under VAWA, so this is the easiest workaround. Note that it will only work IF you have a basis to argue VAWA was incorporated into the lease.</w:t>
      </w:r>
    </w:p>
    <w:p w14:paraId="26C31ABC" w14:textId="77777777" w:rsidR="006D4015" w:rsidRDefault="006D4015" w:rsidP="006D4015">
      <w:pPr>
        <w:pStyle w:val="CommentText"/>
      </w:pPr>
    </w:p>
    <w:p w14:paraId="25E568C7" w14:textId="77777777" w:rsidR="006D4015" w:rsidRDefault="006D4015" w:rsidP="006D4015">
      <w:pPr>
        <w:pStyle w:val="CommentText"/>
      </w:pPr>
      <w:r>
        <w:t xml:space="preserve">If you’re missing that, consider a claim under the Fair Housing Act, arguing that the VAWA issue is sex discrimination - e.g., LL tells survivors that he thinks women lie, or LL evicts women survivors but not male abusers, or zero-tolerance eviction policy disproportionately impacts women. </w:t>
      </w:r>
      <w:hyperlink r:id="rId3" w:history="1">
        <w:r w:rsidRPr="004749BD">
          <w:rPr>
            <w:rStyle w:val="Hyperlink"/>
          </w:rPr>
          <w:t>This HUD memo</w:t>
        </w:r>
      </w:hyperlink>
      <w:r>
        <w:t xml:space="preserve"> walks through the different ways that proof can work. We don’t have a template for the elements of that claim because the elements depend on the specific facts. Please talk with Liz or Trina if you have questions. </w:t>
      </w:r>
    </w:p>
    <w:p w14:paraId="6CF162E5" w14:textId="77777777" w:rsidR="006D4015" w:rsidRDefault="006D4015" w:rsidP="006D4015">
      <w:pPr>
        <w:pStyle w:val="CommentText"/>
      </w:pPr>
    </w:p>
    <w:p w14:paraId="2527922D" w14:textId="77777777" w:rsidR="006D4015" w:rsidRDefault="006D4015" w:rsidP="006D4015">
      <w:pPr>
        <w:pStyle w:val="CommentText"/>
      </w:pPr>
      <w:r>
        <w:t xml:space="preserve">Alternately, you can file a HUD complaint about the VAWA violation itself. </w:t>
      </w:r>
    </w:p>
  </w:comment>
  <w:comment w:id="14" w:author="Elizabeth Leiserson" w:date="2024-07-09T16:17:00Z" w:initials="EL">
    <w:p w14:paraId="46DDC9B3" w14:textId="5E40B2B7" w:rsidR="008854E9" w:rsidRDefault="008854E9" w:rsidP="008854E9">
      <w:pPr>
        <w:pStyle w:val="CommentText"/>
      </w:pPr>
      <w:r>
        <w:rPr>
          <w:rStyle w:val="CommentReference"/>
        </w:rPr>
        <w:annotationRef/>
      </w:r>
      <w:r>
        <w:t>Tenants commonly get this “</w:t>
      </w:r>
      <w:hyperlink r:id="rId4" w:history="1">
        <w:r w:rsidRPr="007E6D67">
          <w:rPr>
            <w:rStyle w:val="Hyperlink"/>
          </w:rPr>
          <w:t>Notice of Occupancy Rights</w:t>
        </w:r>
      </w:hyperlink>
      <w:r>
        <w:t xml:space="preserve">” added into their lease packet. If so, our argument is that the notice effectively became part of the lease. Note that LLs may push back on that. </w:t>
      </w:r>
    </w:p>
  </w:comment>
  <w:comment w:id="16" w:author="Elizabeth Leiserson" w:date="2023-06-22T11:23:00Z" w:initials="EL">
    <w:p w14:paraId="4D302BBD" w14:textId="47D538B6" w:rsidR="00A93BE2" w:rsidRDefault="00A93BE2" w:rsidP="00DB5BF3">
      <w:pPr>
        <w:pStyle w:val="CommentText"/>
      </w:pPr>
      <w:r>
        <w:rPr>
          <w:rStyle w:val="CommentReference"/>
        </w:rPr>
        <w:annotationRef/>
      </w:r>
      <w:r>
        <w:t>Sub for your signature block.</w:t>
      </w:r>
    </w:p>
  </w:comment>
  <w:comment w:id="17" w:author="Elizabeth Leiserson" w:date="2024-07-22T09:17:00Z" w:initials="EL">
    <w:p w14:paraId="5BF20435" w14:textId="77777777" w:rsidR="00E124AE" w:rsidRDefault="00E124AE" w:rsidP="00E124AE">
      <w:pPr>
        <w:pStyle w:val="CommentText"/>
      </w:pPr>
      <w:r>
        <w:rPr>
          <w:rStyle w:val="CommentReference"/>
        </w:rPr>
        <w:annotationRef/>
      </w:r>
      <w:r>
        <w:t xml:space="preserve">Check with your clerk’s office for how they require service. Under Rule 5.01, counterclaims arguably need personal service - but the rules of civil procedure don’t apply in General Sessions. Often clerks will allow e-service only if the opposing party is represented - see Rule 5.02(3) and your local rules. It’s always going to be a best practice to email O/C.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0A6B4B" w15:done="0"/>
  <w15:commentEx w15:paraId="37C31F12" w15:done="0"/>
  <w15:commentEx w15:paraId="424893EF" w15:done="0"/>
  <w15:commentEx w15:paraId="7BEC1156" w15:done="0"/>
  <w15:commentEx w15:paraId="66DD31E3" w15:done="0"/>
  <w15:commentEx w15:paraId="2AF6EB6E" w15:done="0"/>
  <w15:commentEx w15:paraId="34E25941" w15:done="0"/>
  <w15:commentEx w15:paraId="79CF7C95" w15:done="0"/>
  <w15:commentEx w15:paraId="72A63964" w15:done="0"/>
  <w15:commentEx w15:paraId="47BAC6FB" w15:done="0"/>
  <w15:commentEx w15:paraId="6882C273" w15:done="0"/>
  <w15:commentEx w15:paraId="3E78D738" w15:done="0"/>
  <w15:commentEx w15:paraId="2527922D" w15:done="0"/>
  <w15:commentEx w15:paraId="46DDC9B3" w15:done="0"/>
  <w15:commentEx w15:paraId="4D302BBD" w15:done="0"/>
  <w15:commentEx w15:paraId="5BF204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3EAD09" w16cex:dateUtc="2023-06-22T16:20:00Z"/>
  <w16cex:commentExtensible w16cex:durableId="283EAD4B" w16cex:dateUtc="2023-06-22T16:21:00Z"/>
  <w16cex:commentExtensible w16cex:durableId="2847DFF4" w16cex:dateUtc="2023-06-29T15:48:00Z"/>
  <w16cex:commentExtensible w16cex:durableId="283EAD88" w16cex:dateUtc="2023-06-22T16:22:00Z"/>
  <w16cex:commentExtensible w16cex:durableId="6392A9FF" w16cex:dateUtc="2026-03-12T20:25:00Z"/>
  <w16cex:commentExtensible w16cex:durableId="1ECBA1D3" w16cex:dateUtc="2025-01-13T18:17:00Z"/>
  <w16cex:commentExtensible w16cex:durableId="283EAE99" w16cex:dateUtc="2023-06-22T16:27:00Z"/>
  <w16cex:commentExtensible w16cex:durableId="0914FBA7" w16cex:dateUtc="2025-05-12T18:46:00Z"/>
  <w16cex:commentExtensible w16cex:durableId="5658CCB6" w16cex:dateUtc="2024-07-10T14:30:00Z"/>
  <w16cex:commentExtensible w16cex:durableId="4617455A" w16cex:dateUtc="2025-05-12T18:45:00Z"/>
  <w16cex:commentExtensible w16cex:durableId="28650FFF" w16cex:dateUtc="2023-07-21T19:09:00Z"/>
  <w16cex:commentExtensible w16cex:durableId="31B786F3" w16cex:dateUtc="2024-03-08T17:42:00Z"/>
  <w16cex:commentExtensible w16cex:durableId="4A31AFAC" w16cex:dateUtc="2024-07-09T21:13:00Z"/>
  <w16cex:commentExtensible w16cex:durableId="3C3460F6" w16cex:dateUtc="2024-07-09T21:17:00Z"/>
  <w16cex:commentExtensible w16cex:durableId="283EADB5" w16cex:dateUtc="2023-06-22T16:23:00Z"/>
  <w16cex:commentExtensible w16cex:durableId="69EC8D22" w16cex:dateUtc="2024-07-22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0A6B4B" w16cid:durableId="283EAD09"/>
  <w16cid:commentId w16cid:paraId="37C31F12" w16cid:durableId="283EAD4B"/>
  <w16cid:commentId w16cid:paraId="424893EF" w16cid:durableId="2847DFF4"/>
  <w16cid:commentId w16cid:paraId="7BEC1156" w16cid:durableId="283EAD88"/>
  <w16cid:commentId w16cid:paraId="66DD31E3" w16cid:durableId="6392A9FF"/>
  <w16cid:commentId w16cid:paraId="2AF6EB6E" w16cid:durableId="1ECBA1D3"/>
  <w16cid:commentId w16cid:paraId="34E25941" w16cid:durableId="283EAE99"/>
  <w16cid:commentId w16cid:paraId="79CF7C95" w16cid:durableId="0914FBA7"/>
  <w16cid:commentId w16cid:paraId="72A63964" w16cid:durableId="5658CCB6"/>
  <w16cid:commentId w16cid:paraId="47BAC6FB" w16cid:durableId="4617455A"/>
  <w16cid:commentId w16cid:paraId="6882C273" w16cid:durableId="28650FFF"/>
  <w16cid:commentId w16cid:paraId="3E78D738" w16cid:durableId="31B786F3"/>
  <w16cid:commentId w16cid:paraId="2527922D" w16cid:durableId="4A31AFAC"/>
  <w16cid:commentId w16cid:paraId="46DDC9B3" w16cid:durableId="3C3460F6"/>
  <w16cid:commentId w16cid:paraId="4D302BBD" w16cid:durableId="283EADB5"/>
  <w16cid:commentId w16cid:paraId="5BF20435" w16cid:durableId="69EC8D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3844" w14:textId="77777777" w:rsidR="001419B9" w:rsidRDefault="001419B9" w:rsidP="00A257AC">
      <w:pPr>
        <w:spacing w:after="0" w:line="240" w:lineRule="auto"/>
      </w:pPr>
      <w:r>
        <w:separator/>
      </w:r>
    </w:p>
  </w:endnote>
  <w:endnote w:type="continuationSeparator" w:id="0">
    <w:p w14:paraId="5DCF8F06" w14:textId="77777777" w:rsidR="001419B9" w:rsidRDefault="001419B9" w:rsidP="00A257AC">
      <w:pPr>
        <w:spacing w:after="0" w:line="240" w:lineRule="auto"/>
      </w:pPr>
      <w:r>
        <w:continuationSeparator/>
      </w:r>
    </w:p>
  </w:endnote>
  <w:endnote w:type="continuationNotice" w:id="1">
    <w:p w14:paraId="100DCD5F" w14:textId="77777777" w:rsidR="001419B9" w:rsidRDefault="00141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5651"/>
      <w:docPartObj>
        <w:docPartGallery w:val="Page Numbers (Bottom of Page)"/>
        <w:docPartUnique/>
      </w:docPartObj>
    </w:sdtPr>
    <w:sdtEndPr>
      <w:rPr>
        <w:rFonts w:ascii="Times New Roman" w:hAnsi="Times New Roman" w:cs="Times New Roman"/>
        <w:noProof/>
        <w:sz w:val="24"/>
        <w:szCs w:val="24"/>
      </w:rPr>
    </w:sdtEndPr>
    <w:sdtContent>
      <w:p w14:paraId="4D067BAD" w14:textId="4249FC32" w:rsidR="00A257AC" w:rsidRPr="00A257AC" w:rsidRDefault="00A257AC" w:rsidP="00A257AC">
        <w:pPr>
          <w:pStyle w:val="Footer"/>
          <w:jc w:val="center"/>
          <w:rPr>
            <w:rFonts w:ascii="Times New Roman" w:hAnsi="Times New Roman" w:cs="Times New Roman"/>
            <w:sz w:val="24"/>
            <w:szCs w:val="24"/>
          </w:rPr>
        </w:pPr>
        <w:r w:rsidRPr="00A257AC">
          <w:rPr>
            <w:rFonts w:ascii="Times New Roman" w:hAnsi="Times New Roman" w:cs="Times New Roman"/>
            <w:sz w:val="24"/>
            <w:szCs w:val="24"/>
          </w:rPr>
          <w:fldChar w:fldCharType="begin"/>
        </w:r>
        <w:r w:rsidRPr="00A257AC">
          <w:rPr>
            <w:rFonts w:ascii="Times New Roman" w:hAnsi="Times New Roman" w:cs="Times New Roman"/>
            <w:sz w:val="24"/>
            <w:szCs w:val="24"/>
          </w:rPr>
          <w:instrText xml:space="preserve"> PAGE   \* MERGEFORMAT </w:instrText>
        </w:r>
        <w:r w:rsidRPr="00A257AC">
          <w:rPr>
            <w:rFonts w:ascii="Times New Roman" w:hAnsi="Times New Roman" w:cs="Times New Roman"/>
            <w:sz w:val="24"/>
            <w:szCs w:val="24"/>
          </w:rPr>
          <w:fldChar w:fldCharType="separate"/>
        </w:r>
        <w:r w:rsidRPr="00A257AC">
          <w:rPr>
            <w:rFonts w:ascii="Times New Roman" w:hAnsi="Times New Roman" w:cs="Times New Roman"/>
            <w:noProof/>
            <w:sz w:val="24"/>
            <w:szCs w:val="24"/>
          </w:rPr>
          <w:t>2</w:t>
        </w:r>
        <w:r w:rsidRPr="00A257AC">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977D" w14:textId="77777777" w:rsidR="001419B9" w:rsidRDefault="001419B9" w:rsidP="00A257AC">
      <w:pPr>
        <w:spacing w:after="0" w:line="240" w:lineRule="auto"/>
      </w:pPr>
      <w:r>
        <w:separator/>
      </w:r>
    </w:p>
  </w:footnote>
  <w:footnote w:type="continuationSeparator" w:id="0">
    <w:p w14:paraId="47127933" w14:textId="77777777" w:rsidR="001419B9" w:rsidRDefault="001419B9" w:rsidP="00A257AC">
      <w:pPr>
        <w:spacing w:after="0" w:line="240" w:lineRule="auto"/>
      </w:pPr>
      <w:r>
        <w:continuationSeparator/>
      </w:r>
    </w:p>
  </w:footnote>
  <w:footnote w:type="continuationNotice" w:id="1">
    <w:p w14:paraId="33F3D45C" w14:textId="77777777" w:rsidR="001419B9" w:rsidRDefault="001419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A1235"/>
    <w:multiLevelType w:val="hybridMultilevel"/>
    <w:tmpl w:val="E734617E"/>
    <w:lvl w:ilvl="0" w:tplc="FFFFFFFF">
      <w:start w:val="1"/>
      <w:numFmt w:val="decimal"/>
      <w:lvlText w:val="%1."/>
      <w:lvlJc w:val="left"/>
      <w:pPr>
        <w:ind w:left="0" w:firstLine="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2033671"/>
    <w:multiLevelType w:val="hybridMultilevel"/>
    <w:tmpl w:val="55F62A80"/>
    <w:lvl w:ilvl="0" w:tplc="E62E2190">
      <w:start w:val="1"/>
      <w:numFmt w:val="decimal"/>
      <w:pStyle w:val="NoSpacing"/>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B4100C"/>
    <w:multiLevelType w:val="hybridMultilevel"/>
    <w:tmpl w:val="17EC21E0"/>
    <w:lvl w:ilvl="0" w:tplc="E0269C5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751F89"/>
    <w:multiLevelType w:val="hybridMultilevel"/>
    <w:tmpl w:val="4A74DAFC"/>
    <w:lvl w:ilvl="0" w:tplc="32F07EF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1880959">
    <w:abstractNumId w:val="1"/>
  </w:num>
  <w:num w:numId="2" w16cid:durableId="1457798151">
    <w:abstractNumId w:val="3"/>
  </w:num>
  <w:num w:numId="3" w16cid:durableId="894508355">
    <w:abstractNumId w:val="0"/>
  </w:num>
  <w:num w:numId="4" w16cid:durableId="32836375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Leiserson">
    <w15:presenceInfo w15:providerId="AD" w15:userId="S::eleiserson@las.org::a42172d2-a30f-430c-82d2-1cfa5c9f0215"/>
  </w15:person>
  <w15:person w15:author="Trina Hughes">
    <w15:presenceInfo w15:providerId="AD" w15:userId="S::thughes@las.org::5dfc8ef1-37f3-4222-8da7-8f868bd850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9C"/>
    <w:rsid w:val="00007D34"/>
    <w:rsid w:val="00015C34"/>
    <w:rsid w:val="00022DD3"/>
    <w:rsid w:val="00023B87"/>
    <w:rsid w:val="0003323B"/>
    <w:rsid w:val="0003670C"/>
    <w:rsid w:val="000451AA"/>
    <w:rsid w:val="00051F88"/>
    <w:rsid w:val="000732B5"/>
    <w:rsid w:val="0008398E"/>
    <w:rsid w:val="000A580A"/>
    <w:rsid w:val="000B236D"/>
    <w:rsid w:val="000F0DB5"/>
    <w:rsid w:val="000F1F4C"/>
    <w:rsid w:val="000F306A"/>
    <w:rsid w:val="000F63E2"/>
    <w:rsid w:val="000F7164"/>
    <w:rsid w:val="00101408"/>
    <w:rsid w:val="001050CA"/>
    <w:rsid w:val="00105BD8"/>
    <w:rsid w:val="001419B9"/>
    <w:rsid w:val="00154B85"/>
    <w:rsid w:val="00160C37"/>
    <w:rsid w:val="001666D1"/>
    <w:rsid w:val="00177DE1"/>
    <w:rsid w:val="00187F45"/>
    <w:rsid w:val="001907B9"/>
    <w:rsid w:val="001A3E6A"/>
    <w:rsid w:val="001A7A7F"/>
    <w:rsid w:val="001B18B1"/>
    <w:rsid w:val="001C0B60"/>
    <w:rsid w:val="001C626B"/>
    <w:rsid w:val="001C6880"/>
    <w:rsid w:val="001D3FA9"/>
    <w:rsid w:val="001E235E"/>
    <w:rsid w:val="00202A9C"/>
    <w:rsid w:val="002060D0"/>
    <w:rsid w:val="00210261"/>
    <w:rsid w:val="002349FB"/>
    <w:rsid w:val="002423A2"/>
    <w:rsid w:val="00243729"/>
    <w:rsid w:val="0025653A"/>
    <w:rsid w:val="00265DD0"/>
    <w:rsid w:val="0026639F"/>
    <w:rsid w:val="00271AFA"/>
    <w:rsid w:val="002764A9"/>
    <w:rsid w:val="0028186E"/>
    <w:rsid w:val="002A1CC7"/>
    <w:rsid w:val="002D67FA"/>
    <w:rsid w:val="002E06B3"/>
    <w:rsid w:val="002E7B39"/>
    <w:rsid w:val="002F2E4D"/>
    <w:rsid w:val="00302BB2"/>
    <w:rsid w:val="00320051"/>
    <w:rsid w:val="003234E1"/>
    <w:rsid w:val="003238A7"/>
    <w:rsid w:val="00324C1C"/>
    <w:rsid w:val="003450BD"/>
    <w:rsid w:val="00350D6F"/>
    <w:rsid w:val="00351B85"/>
    <w:rsid w:val="00351C48"/>
    <w:rsid w:val="003576D2"/>
    <w:rsid w:val="003625D3"/>
    <w:rsid w:val="0039674B"/>
    <w:rsid w:val="003B408E"/>
    <w:rsid w:val="003C0714"/>
    <w:rsid w:val="003E0692"/>
    <w:rsid w:val="003F3918"/>
    <w:rsid w:val="00427DB9"/>
    <w:rsid w:val="00435489"/>
    <w:rsid w:val="00476B4B"/>
    <w:rsid w:val="00481E32"/>
    <w:rsid w:val="004B54E9"/>
    <w:rsid w:val="004D7CA3"/>
    <w:rsid w:val="004F1D0F"/>
    <w:rsid w:val="00530025"/>
    <w:rsid w:val="0053614B"/>
    <w:rsid w:val="00545E48"/>
    <w:rsid w:val="00553FFB"/>
    <w:rsid w:val="00554616"/>
    <w:rsid w:val="00562970"/>
    <w:rsid w:val="0056637C"/>
    <w:rsid w:val="00566DED"/>
    <w:rsid w:val="00584CAA"/>
    <w:rsid w:val="005A74A9"/>
    <w:rsid w:val="005C26D8"/>
    <w:rsid w:val="005C3DD6"/>
    <w:rsid w:val="005D1E30"/>
    <w:rsid w:val="005D78E9"/>
    <w:rsid w:val="005E1C27"/>
    <w:rsid w:val="005E5E14"/>
    <w:rsid w:val="00605F90"/>
    <w:rsid w:val="0061371B"/>
    <w:rsid w:val="0061481A"/>
    <w:rsid w:val="00631938"/>
    <w:rsid w:val="00631CBE"/>
    <w:rsid w:val="00634F44"/>
    <w:rsid w:val="00641893"/>
    <w:rsid w:val="006561B7"/>
    <w:rsid w:val="00665E5A"/>
    <w:rsid w:val="00673C6A"/>
    <w:rsid w:val="00682E88"/>
    <w:rsid w:val="006A24A4"/>
    <w:rsid w:val="006A543B"/>
    <w:rsid w:val="006A6512"/>
    <w:rsid w:val="006B29DC"/>
    <w:rsid w:val="006C1B2F"/>
    <w:rsid w:val="006D4015"/>
    <w:rsid w:val="006D47B6"/>
    <w:rsid w:val="006D7772"/>
    <w:rsid w:val="006E1DD3"/>
    <w:rsid w:val="006E5BE6"/>
    <w:rsid w:val="006F3251"/>
    <w:rsid w:val="00717E3A"/>
    <w:rsid w:val="00731E3B"/>
    <w:rsid w:val="00736ACE"/>
    <w:rsid w:val="00753EE6"/>
    <w:rsid w:val="00777C49"/>
    <w:rsid w:val="00785893"/>
    <w:rsid w:val="00794372"/>
    <w:rsid w:val="007A0982"/>
    <w:rsid w:val="007B1F95"/>
    <w:rsid w:val="007B6A48"/>
    <w:rsid w:val="007C1128"/>
    <w:rsid w:val="007C66B3"/>
    <w:rsid w:val="007D58D8"/>
    <w:rsid w:val="007D75DE"/>
    <w:rsid w:val="00817707"/>
    <w:rsid w:val="00821BD1"/>
    <w:rsid w:val="00825087"/>
    <w:rsid w:val="008575B3"/>
    <w:rsid w:val="00877C1F"/>
    <w:rsid w:val="008854E9"/>
    <w:rsid w:val="00885774"/>
    <w:rsid w:val="008A016A"/>
    <w:rsid w:val="008A1CD9"/>
    <w:rsid w:val="008B1C2E"/>
    <w:rsid w:val="008B35BD"/>
    <w:rsid w:val="008F2841"/>
    <w:rsid w:val="008F2FDD"/>
    <w:rsid w:val="008F4CF9"/>
    <w:rsid w:val="00912E74"/>
    <w:rsid w:val="00942226"/>
    <w:rsid w:val="009479F1"/>
    <w:rsid w:val="0096560D"/>
    <w:rsid w:val="00972BFE"/>
    <w:rsid w:val="00984B37"/>
    <w:rsid w:val="009B7CB9"/>
    <w:rsid w:val="009C446A"/>
    <w:rsid w:val="009C4937"/>
    <w:rsid w:val="009E311E"/>
    <w:rsid w:val="009E489E"/>
    <w:rsid w:val="009F00E5"/>
    <w:rsid w:val="009F0FB1"/>
    <w:rsid w:val="009F1727"/>
    <w:rsid w:val="009F206E"/>
    <w:rsid w:val="00A2000A"/>
    <w:rsid w:val="00A231D5"/>
    <w:rsid w:val="00A257AC"/>
    <w:rsid w:val="00A27447"/>
    <w:rsid w:val="00A33C3D"/>
    <w:rsid w:val="00A34565"/>
    <w:rsid w:val="00A3695C"/>
    <w:rsid w:val="00A379C8"/>
    <w:rsid w:val="00A41557"/>
    <w:rsid w:val="00A56470"/>
    <w:rsid w:val="00A63DD3"/>
    <w:rsid w:val="00A675C5"/>
    <w:rsid w:val="00A705DF"/>
    <w:rsid w:val="00A9147E"/>
    <w:rsid w:val="00A93BE2"/>
    <w:rsid w:val="00AB2517"/>
    <w:rsid w:val="00AB2A9D"/>
    <w:rsid w:val="00B00215"/>
    <w:rsid w:val="00B00972"/>
    <w:rsid w:val="00B1285C"/>
    <w:rsid w:val="00B154AD"/>
    <w:rsid w:val="00B20A1F"/>
    <w:rsid w:val="00B24191"/>
    <w:rsid w:val="00B27F41"/>
    <w:rsid w:val="00B30268"/>
    <w:rsid w:val="00B574AA"/>
    <w:rsid w:val="00B57A1A"/>
    <w:rsid w:val="00B631E5"/>
    <w:rsid w:val="00B64895"/>
    <w:rsid w:val="00B962E0"/>
    <w:rsid w:val="00BA3EA5"/>
    <w:rsid w:val="00BA64DB"/>
    <w:rsid w:val="00BB26AD"/>
    <w:rsid w:val="00BD57F4"/>
    <w:rsid w:val="00BE58E4"/>
    <w:rsid w:val="00C00EBC"/>
    <w:rsid w:val="00C10B88"/>
    <w:rsid w:val="00C16480"/>
    <w:rsid w:val="00C25C9B"/>
    <w:rsid w:val="00C30B7B"/>
    <w:rsid w:val="00C41C9E"/>
    <w:rsid w:val="00C45C90"/>
    <w:rsid w:val="00C4623E"/>
    <w:rsid w:val="00C55546"/>
    <w:rsid w:val="00C618BD"/>
    <w:rsid w:val="00C620E6"/>
    <w:rsid w:val="00C72069"/>
    <w:rsid w:val="00C75D74"/>
    <w:rsid w:val="00C81A8C"/>
    <w:rsid w:val="00C85F6E"/>
    <w:rsid w:val="00C90020"/>
    <w:rsid w:val="00C93B59"/>
    <w:rsid w:val="00C966DE"/>
    <w:rsid w:val="00CC1B12"/>
    <w:rsid w:val="00CC262D"/>
    <w:rsid w:val="00CC54E7"/>
    <w:rsid w:val="00CD019F"/>
    <w:rsid w:val="00CD5875"/>
    <w:rsid w:val="00CE20FC"/>
    <w:rsid w:val="00CE4A62"/>
    <w:rsid w:val="00CE4E72"/>
    <w:rsid w:val="00D00BB0"/>
    <w:rsid w:val="00D03B65"/>
    <w:rsid w:val="00D13F49"/>
    <w:rsid w:val="00D204CE"/>
    <w:rsid w:val="00D23052"/>
    <w:rsid w:val="00D7281F"/>
    <w:rsid w:val="00D9147F"/>
    <w:rsid w:val="00DB27E9"/>
    <w:rsid w:val="00DB5BF3"/>
    <w:rsid w:val="00DC006A"/>
    <w:rsid w:val="00DC22E2"/>
    <w:rsid w:val="00DC6728"/>
    <w:rsid w:val="00DC69A5"/>
    <w:rsid w:val="00E124AE"/>
    <w:rsid w:val="00E16A67"/>
    <w:rsid w:val="00E30053"/>
    <w:rsid w:val="00E35855"/>
    <w:rsid w:val="00E41F4A"/>
    <w:rsid w:val="00E50A09"/>
    <w:rsid w:val="00E5491F"/>
    <w:rsid w:val="00E7302B"/>
    <w:rsid w:val="00E73325"/>
    <w:rsid w:val="00E85F3D"/>
    <w:rsid w:val="00E91CDF"/>
    <w:rsid w:val="00EA6ACA"/>
    <w:rsid w:val="00EB410D"/>
    <w:rsid w:val="00EC02DE"/>
    <w:rsid w:val="00EC4ECC"/>
    <w:rsid w:val="00EC680D"/>
    <w:rsid w:val="00ED158A"/>
    <w:rsid w:val="00EF7428"/>
    <w:rsid w:val="00F20D4D"/>
    <w:rsid w:val="00F25B22"/>
    <w:rsid w:val="00F36DB7"/>
    <w:rsid w:val="00F55C8C"/>
    <w:rsid w:val="00F70204"/>
    <w:rsid w:val="00F73534"/>
    <w:rsid w:val="00F766FC"/>
    <w:rsid w:val="00F823DF"/>
    <w:rsid w:val="00F86909"/>
    <w:rsid w:val="00F9622C"/>
    <w:rsid w:val="00FD2B36"/>
    <w:rsid w:val="00FE5C08"/>
    <w:rsid w:val="09297D10"/>
    <w:rsid w:val="18E181E5"/>
    <w:rsid w:val="3FF218F3"/>
    <w:rsid w:val="426D392D"/>
    <w:rsid w:val="4560E540"/>
    <w:rsid w:val="48E190E8"/>
    <w:rsid w:val="51E9414B"/>
    <w:rsid w:val="5761DB16"/>
    <w:rsid w:val="636E5B23"/>
    <w:rsid w:val="79082A53"/>
    <w:rsid w:val="7A245318"/>
    <w:rsid w:val="7BABC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4F28E"/>
  <w15:chartTrackingRefBased/>
  <w15:docId w15:val="{9B982540-5036-4ED5-9EB5-73B1B23C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A9C"/>
    <w:pPr>
      <w:spacing w:after="200" w:line="276" w:lineRule="auto"/>
    </w:pPr>
    <w:rPr>
      <w:sz w:val="22"/>
      <w:szCs w:val="22"/>
    </w:rPr>
  </w:style>
  <w:style w:type="paragraph" w:styleId="Heading1">
    <w:name w:val="heading 1"/>
    <w:basedOn w:val="Normal"/>
    <w:next w:val="Normal"/>
    <w:link w:val="Heading1Char"/>
    <w:uiPriority w:val="9"/>
    <w:qFormat/>
    <w:rsid w:val="00A2000A"/>
    <w:pPr>
      <w:keepNext/>
      <w:keepLines/>
      <w:spacing w:after="240" w:line="240" w:lineRule="auto"/>
      <w:jc w:val="center"/>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unhideWhenUsed/>
    <w:qFormat/>
    <w:rsid w:val="00243729"/>
    <w:pPr>
      <w:keepNext/>
      <w:keepLines/>
      <w:spacing w:after="0" w:line="480" w:lineRule="auto"/>
      <w:jc w:val="center"/>
      <w:outlineLvl w:val="1"/>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2A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A9C"/>
    <w:rPr>
      <w:rFonts w:ascii="Times New Roman" w:hAnsi="Times New Roman" w:cs="Times New Roman"/>
      <w:sz w:val="18"/>
      <w:szCs w:val="18"/>
    </w:rPr>
  </w:style>
  <w:style w:type="character" w:styleId="Hyperlink">
    <w:name w:val="Hyperlink"/>
    <w:basedOn w:val="DefaultParagraphFont"/>
    <w:uiPriority w:val="99"/>
    <w:unhideWhenUsed/>
    <w:rsid w:val="00202A9C"/>
    <w:rPr>
      <w:color w:val="0563C1" w:themeColor="hyperlink"/>
      <w:u w:val="single"/>
    </w:rPr>
  </w:style>
  <w:style w:type="paragraph" w:styleId="ListParagraph">
    <w:name w:val="List Paragraph"/>
    <w:basedOn w:val="Normal"/>
    <w:uiPriority w:val="34"/>
    <w:qFormat/>
    <w:rsid w:val="00202A9C"/>
    <w:pPr>
      <w:ind w:left="720"/>
      <w:contextualSpacing/>
    </w:pPr>
  </w:style>
  <w:style w:type="paragraph" w:styleId="NoSpacing">
    <w:name w:val="No Spacing"/>
    <w:basedOn w:val="ListParagraph"/>
    <w:uiPriority w:val="1"/>
    <w:qFormat/>
    <w:rsid w:val="00A2000A"/>
    <w:pPr>
      <w:numPr>
        <w:numId w:val="1"/>
      </w:numPr>
      <w:spacing w:after="0" w:line="48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A2000A"/>
    <w:rPr>
      <w:rFonts w:ascii="Times New Roman" w:eastAsia="Times New Roman" w:hAnsi="Times New Roman" w:cs="Times New Roman"/>
      <w:b/>
      <w:bCs/>
      <w:u w:val="single"/>
    </w:rPr>
  </w:style>
  <w:style w:type="character" w:styleId="CommentReference">
    <w:name w:val="annotation reference"/>
    <w:basedOn w:val="DefaultParagraphFont"/>
    <w:uiPriority w:val="99"/>
    <w:semiHidden/>
    <w:unhideWhenUsed/>
    <w:rsid w:val="002D67FA"/>
    <w:rPr>
      <w:sz w:val="16"/>
      <w:szCs w:val="16"/>
    </w:rPr>
  </w:style>
  <w:style w:type="paragraph" w:styleId="CommentText">
    <w:name w:val="annotation text"/>
    <w:basedOn w:val="Normal"/>
    <w:link w:val="CommentTextChar"/>
    <w:uiPriority w:val="99"/>
    <w:unhideWhenUsed/>
    <w:rsid w:val="002D67FA"/>
    <w:pPr>
      <w:spacing w:line="240" w:lineRule="auto"/>
    </w:pPr>
    <w:rPr>
      <w:sz w:val="20"/>
      <w:szCs w:val="20"/>
    </w:rPr>
  </w:style>
  <w:style w:type="character" w:customStyle="1" w:styleId="CommentTextChar">
    <w:name w:val="Comment Text Char"/>
    <w:basedOn w:val="DefaultParagraphFont"/>
    <w:link w:val="CommentText"/>
    <w:uiPriority w:val="99"/>
    <w:rsid w:val="002D67FA"/>
    <w:rPr>
      <w:sz w:val="20"/>
      <w:szCs w:val="20"/>
    </w:rPr>
  </w:style>
  <w:style w:type="paragraph" w:styleId="CommentSubject">
    <w:name w:val="annotation subject"/>
    <w:basedOn w:val="CommentText"/>
    <w:next w:val="CommentText"/>
    <w:link w:val="CommentSubjectChar"/>
    <w:uiPriority w:val="99"/>
    <w:semiHidden/>
    <w:unhideWhenUsed/>
    <w:rsid w:val="002D67FA"/>
    <w:rPr>
      <w:b/>
      <w:bCs/>
    </w:rPr>
  </w:style>
  <w:style w:type="character" w:customStyle="1" w:styleId="CommentSubjectChar">
    <w:name w:val="Comment Subject Char"/>
    <w:basedOn w:val="CommentTextChar"/>
    <w:link w:val="CommentSubject"/>
    <w:uiPriority w:val="99"/>
    <w:semiHidden/>
    <w:rsid w:val="002D67FA"/>
    <w:rPr>
      <w:b/>
      <w:bCs/>
      <w:sz w:val="20"/>
      <w:szCs w:val="20"/>
    </w:rPr>
  </w:style>
  <w:style w:type="paragraph" w:styleId="Revision">
    <w:name w:val="Revision"/>
    <w:hidden/>
    <w:uiPriority w:val="99"/>
    <w:semiHidden/>
    <w:rsid w:val="0008398E"/>
    <w:rPr>
      <w:sz w:val="22"/>
      <w:szCs w:val="22"/>
    </w:rPr>
  </w:style>
  <w:style w:type="paragraph" w:customStyle="1" w:styleId="paragraph">
    <w:name w:val="paragraph"/>
    <w:basedOn w:val="Normal"/>
    <w:rsid w:val="00E358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35855"/>
  </w:style>
  <w:style w:type="character" w:customStyle="1" w:styleId="tabchar">
    <w:name w:val="tabchar"/>
    <w:basedOn w:val="DefaultParagraphFont"/>
    <w:rsid w:val="00E35855"/>
  </w:style>
  <w:style w:type="character" w:customStyle="1" w:styleId="eop">
    <w:name w:val="eop"/>
    <w:basedOn w:val="DefaultParagraphFont"/>
    <w:rsid w:val="00E35855"/>
  </w:style>
  <w:style w:type="paragraph" w:styleId="Header">
    <w:name w:val="header"/>
    <w:basedOn w:val="Normal"/>
    <w:link w:val="HeaderChar"/>
    <w:uiPriority w:val="99"/>
    <w:unhideWhenUsed/>
    <w:rsid w:val="00A25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7AC"/>
    <w:rPr>
      <w:sz w:val="22"/>
      <w:szCs w:val="22"/>
    </w:rPr>
  </w:style>
  <w:style w:type="paragraph" w:styleId="Footer">
    <w:name w:val="footer"/>
    <w:basedOn w:val="Normal"/>
    <w:link w:val="FooterChar"/>
    <w:uiPriority w:val="99"/>
    <w:unhideWhenUsed/>
    <w:rsid w:val="00A25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7AC"/>
    <w:rPr>
      <w:sz w:val="22"/>
      <w:szCs w:val="22"/>
    </w:rPr>
  </w:style>
  <w:style w:type="character" w:customStyle="1" w:styleId="Heading2Char">
    <w:name w:val="Heading 2 Char"/>
    <w:basedOn w:val="DefaultParagraphFont"/>
    <w:link w:val="Heading2"/>
    <w:uiPriority w:val="9"/>
    <w:rsid w:val="00243729"/>
    <w:rPr>
      <w:rFonts w:ascii="Times New Roman" w:hAnsi="Times New Roman" w:cs="Times New Roman"/>
      <w:u w:val="single"/>
    </w:rPr>
  </w:style>
  <w:style w:type="character" w:styleId="UnresolvedMention">
    <w:name w:val="Unresolved Mention"/>
    <w:basedOn w:val="DefaultParagraphFont"/>
    <w:uiPriority w:val="99"/>
    <w:semiHidden/>
    <w:unhideWhenUsed/>
    <w:rsid w:val="00885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039928">
      <w:bodyDiv w:val="1"/>
      <w:marLeft w:val="0"/>
      <w:marRight w:val="0"/>
      <w:marTop w:val="0"/>
      <w:marBottom w:val="0"/>
      <w:divBdr>
        <w:top w:val="none" w:sz="0" w:space="0" w:color="auto"/>
        <w:left w:val="none" w:sz="0" w:space="0" w:color="auto"/>
        <w:bottom w:val="none" w:sz="0" w:space="0" w:color="auto"/>
        <w:right w:val="none" w:sz="0" w:space="0" w:color="auto"/>
      </w:divBdr>
    </w:div>
    <w:div w:id="1221788494">
      <w:bodyDiv w:val="1"/>
      <w:marLeft w:val="0"/>
      <w:marRight w:val="0"/>
      <w:marTop w:val="0"/>
      <w:marBottom w:val="0"/>
      <w:divBdr>
        <w:top w:val="none" w:sz="0" w:space="0" w:color="auto"/>
        <w:left w:val="none" w:sz="0" w:space="0" w:color="auto"/>
        <w:bottom w:val="none" w:sz="0" w:space="0" w:color="auto"/>
        <w:right w:val="none" w:sz="0" w:space="0" w:color="auto"/>
      </w:divBdr>
    </w:div>
    <w:div w:id="1226795846">
      <w:bodyDiv w:val="1"/>
      <w:marLeft w:val="0"/>
      <w:marRight w:val="0"/>
      <w:marTop w:val="0"/>
      <w:marBottom w:val="0"/>
      <w:divBdr>
        <w:top w:val="none" w:sz="0" w:space="0" w:color="auto"/>
        <w:left w:val="none" w:sz="0" w:space="0" w:color="auto"/>
        <w:bottom w:val="none" w:sz="0" w:space="0" w:color="auto"/>
        <w:right w:val="none" w:sz="0" w:space="0" w:color="auto"/>
      </w:divBdr>
    </w:div>
    <w:div w:id="1552033630">
      <w:bodyDiv w:val="1"/>
      <w:marLeft w:val="0"/>
      <w:marRight w:val="0"/>
      <w:marTop w:val="0"/>
      <w:marBottom w:val="0"/>
      <w:divBdr>
        <w:top w:val="none" w:sz="0" w:space="0" w:color="auto"/>
        <w:left w:val="none" w:sz="0" w:space="0" w:color="auto"/>
        <w:bottom w:val="none" w:sz="0" w:space="0" w:color="auto"/>
        <w:right w:val="none" w:sz="0" w:space="0" w:color="auto"/>
      </w:divBdr>
      <w:divsChild>
        <w:div w:id="75789362">
          <w:marLeft w:val="0"/>
          <w:marRight w:val="0"/>
          <w:marTop w:val="0"/>
          <w:marBottom w:val="0"/>
          <w:divBdr>
            <w:top w:val="none" w:sz="0" w:space="0" w:color="auto"/>
            <w:left w:val="none" w:sz="0" w:space="0" w:color="auto"/>
            <w:bottom w:val="none" w:sz="0" w:space="0" w:color="auto"/>
            <w:right w:val="none" w:sz="0" w:space="0" w:color="auto"/>
          </w:divBdr>
        </w:div>
        <w:div w:id="311714197">
          <w:marLeft w:val="0"/>
          <w:marRight w:val="0"/>
          <w:marTop w:val="0"/>
          <w:marBottom w:val="0"/>
          <w:divBdr>
            <w:top w:val="none" w:sz="0" w:space="0" w:color="auto"/>
            <w:left w:val="none" w:sz="0" w:space="0" w:color="auto"/>
            <w:bottom w:val="none" w:sz="0" w:space="0" w:color="auto"/>
            <w:right w:val="none" w:sz="0" w:space="0" w:color="auto"/>
          </w:divBdr>
        </w:div>
        <w:div w:id="457795818">
          <w:marLeft w:val="0"/>
          <w:marRight w:val="0"/>
          <w:marTop w:val="0"/>
          <w:marBottom w:val="0"/>
          <w:divBdr>
            <w:top w:val="none" w:sz="0" w:space="0" w:color="auto"/>
            <w:left w:val="none" w:sz="0" w:space="0" w:color="auto"/>
            <w:bottom w:val="none" w:sz="0" w:space="0" w:color="auto"/>
            <w:right w:val="none" w:sz="0" w:space="0" w:color="auto"/>
          </w:divBdr>
        </w:div>
        <w:div w:id="670643506">
          <w:marLeft w:val="0"/>
          <w:marRight w:val="0"/>
          <w:marTop w:val="0"/>
          <w:marBottom w:val="0"/>
          <w:divBdr>
            <w:top w:val="none" w:sz="0" w:space="0" w:color="auto"/>
            <w:left w:val="none" w:sz="0" w:space="0" w:color="auto"/>
            <w:bottom w:val="none" w:sz="0" w:space="0" w:color="auto"/>
            <w:right w:val="none" w:sz="0" w:space="0" w:color="auto"/>
          </w:divBdr>
        </w:div>
        <w:div w:id="980689095">
          <w:marLeft w:val="0"/>
          <w:marRight w:val="0"/>
          <w:marTop w:val="0"/>
          <w:marBottom w:val="0"/>
          <w:divBdr>
            <w:top w:val="none" w:sz="0" w:space="0" w:color="auto"/>
            <w:left w:val="none" w:sz="0" w:space="0" w:color="auto"/>
            <w:bottom w:val="none" w:sz="0" w:space="0" w:color="auto"/>
            <w:right w:val="none" w:sz="0" w:space="0" w:color="auto"/>
          </w:divBdr>
        </w:div>
        <w:div w:id="1316641055">
          <w:marLeft w:val="0"/>
          <w:marRight w:val="0"/>
          <w:marTop w:val="0"/>
          <w:marBottom w:val="0"/>
          <w:divBdr>
            <w:top w:val="none" w:sz="0" w:space="0" w:color="auto"/>
            <w:left w:val="none" w:sz="0" w:space="0" w:color="auto"/>
            <w:bottom w:val="none" w:sz="0" w:space="0" w:color="auto"/>
            <w:right w:val="none" w:sz="0" w:space="0" w:color="auto"/>
          </w:divBdr>
        </w:div>
        <w:div w:id="1387528504">
          <w:marLeft w:val="0"/>
          <w:marRight w:val="0"/>
          <w:marTop w:val="0"/>
          <w:marBottom w:val="0"/>
          <w:divBdr>
            <w:top w:val="none" w:sz="0" w:space="0" w:color="auto"/>
            <w:left w:val="none" w:sz="0" w:space="0" w:color="auto"/>
            <w:bottom w:val="none" w:sz="0" w:space="0" w:color="auto"/>
            <w:right w:val="none" w:sz="0" w:space="0" w:color="auto"/>
          </w:divBdr>
        </w:div>
        <w:div w:id="1395740135">
          <w:marLeft w:val="0"/>
          <w:marRight w:val="0"/>
          <w:marTop w:val="0"/>
          <w:marBottom w:val="0"/>
          <w:divBdr>
            <w:top w:val="none" w:sz="0" w:space="0" w:color="auto"/>
            <w:left w:val="none" w:sz="0" w:space="0" w:color="auto"/>
            <w:bottom w:val="none" w:sz="0" w:space="0" w:color="auto"/>
            <w:right w:val="none" w:sz="0" w:space="0" w:color="auto"/>
          </w:divBdr>
        </w:div>
        <w:div w:id="1616787884">
          <w:marLeft w:val="0"/>
          <w:marRight w:val="0"/>
          <w:marTop w:val="0"/>
          <w:marBottom w:val="0"/>
          <w:divBdr>
            <w:top w:val="none" w:sz="0" w:space="0" w:color="auto"/>
            <w:left w:val="none" w:sz="0" w:space="0" w:color="auto"/>
            <w:bottom w:val="none" w:sz="0" w:space="0" w:color="auto"/>
            <w:right w:val="none" w:sz="0" w:space="0" w:color="auto"/>
          </w:divBdr>
        </w:div>
        <w:div w:id="1834025956">
          <w:marLeft w:val="0"/>
          <w:marRight w:val="0"/>
          <w:marTop w:val="0"/>
          <w:marBottom w:val="0"/>
          <w:divBdr>
            <w:top w:val="none" w:sz="0" w:space="0" w:color="auto"/>
            <w:left w:val="none" w:sz="0" w:space="0" w:color="auto"/>
            <w:bottom w:val="none" w:sz="0" w:space="0" w:color="auto"/>
            <w:right w:val="none" w:sz="0" w:space="0" w:color="auto"/>
          </w:divBdr>
        </w:div>
        <w:div w:id="1991445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lasmtc.sharepoint.com/:b:/g/housing/EZHUZTLkRWBEkbQAyeaLw6UByDhUZQLkrz1xHnQDiyMVDQ?e=Fn6Gub" TargetMode="External"/><Relationship Id="rId2" Type="http://schemas.openxmlformats.org/officeDocument/2006/relationships/hyperlink" Target="https://1.next.westlaw.com/Link/Document/FullText?findType=L&amp;pubNum=1000039&amp;cite=TNSTS47-2-314&amp;originatingDoc=N0EC1B421558D11EF80F4DF5B519F282D&amp;refType=LQ&amp;originationContext=document&amp;transitionType=DocumentItem&amp;ppcid=ba3f30783eba4921b0ef29f4bbb59476&amp;contextData=(sc.UserEnteredCitation)" TargetMode="External"/><Relationship Id="rId1" Type="http://schemas.openxmlformats.org/officeDocument/2006/relationships/hyperlink" Target="https://public-inspection.federalregister.gov/2026-04990.pdf" TargetMode="External"/><Relationship Id="rId4" Type="http://schemas.openxmlformats.org/officeDocument/2006/relationships/hyperlink" Target="https://thda.org/pdf/Notice-of-Occupancy-Rights-under-the-Violence-Against-Women-Act.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kmorris@la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0C9B90ADB5E46BB6CE9595DCA5FB6" ma:contentTypeVersion="21" ma:contentTypeDescription="Create a new document." ma:contentTypeScope="" ma:versionID="177b34580d11a63db260ab1febdc348c">
  <xsd:schema xmlns:xsd="http://www.w3.org/2001/XMLSchema" xmlns:xs="http://www.w3.org/2001/XMLSchema" xmlns:p="http://schemas.microsoft.com/office/2006/metadata/properties" xmlns:ns2="4de4abfd-53f5-43bb-96ab-5842d08f581c" xmlns:ns3="91328b03-8ff5-4351-9cc7-829ceed2dd6d" targetNamespace="http://schemas.microsoft.com/office/2006/metadata/properties" ma:root="true" ma:fieldsID="4ad9e9514c7661d996d6e3e4649bd2b1" ns2:_="" ns3:_="">
    <xsd:import namespace="4de4abfd-53f5-43bb-96ab-5842d08f581c"/>
    <xsd:import namespace="91328b03-8ff5-4351-9cc7-829ceed2dd6d"/>
    <xsd:element name="properties">
      <xsd:complexType>
        <xsd:sequence>
          <xsd:element name="documentManagement">
            <xsd:complexType>
              <xsd:all>
                <xsd:element ref="ns2:MediaServiceMetadata" minOccurs="0"/>
                <xsd:element ref="ns2:MediaServiceFastMetadata" minOccurs="0"/>
                <xsd:element ref="ns2:Inactive" minOccurs="0"/>
                <xsd:element ref="ns2:MediaServiceDateTaken" minOccurs="0"/>
                <xsd:element ref="ns2:Folder_x0020_Name"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4abfd-53f5-43bb-96ab-5842d08f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active" ma:index="10" nillable="true" ma:displayName="Inactive" ma:default="0" ma:description="Check this box to mark the document as inactive, and hide it from view." ma:internalName="Inactive">
      <xsd:simpleType>
        <xsd:restriction base="dms:Boolean"/>
      </xsd:simpleType>
    </xsd:element>
    <xsd:element name="MediaServiceDateTaken" ma:index="11" nillable="true" ma:displayName="MediaServiceDateTaken" ma:hidden="true" ma:internalName="MediaServiceDateTaken" ma:readOnly="true">
      <xsd:simpleType>
        <xsd:restriction base="dms:Text"/>
      </xsd:simpleType>
    </xsd:element>
    <xsd:element name="Folder_x0020_Name" ma:index="12" nillable="true" ma:displayName="Folder Name" ma:internalName="Folder_x0020_Name">
      <xsd:simpleType>
        <xsd:restriction base="dms:Text">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c3aa6b-a2da-49d6-b9c8-2de0e077a7ea"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328b03-8ff5-4351-9cc7-829ceed2dd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36baad4-53db-4601-8758-3ceca7aa182f}" ma:internalName="TaxCatchAll" ma:showField="CatchAllData" ma:web="91328b03-8ff5-4351-9cc7-829ceed2d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328b03-8ff5-4351-9cc7-829ceed2dd6d" xsi:nil="true"/>
    <lcf76f155ced4ddcb4097134ff3c332f xmlns="4de4abfd-53f5-43bb-96ab-5842d08f581c">
      <Terms xmlns="http://schemas.microsoft.com/office/infopath/2007/PartnerControls"/>
    </lcf76f155ced4ddcb4097134ff3c332f>
    <MediaLengthInSeconds xmlns="4de4abfd-53f5-43bb-96ab-5842d08f581c" xsi:nil="true"/>
    <SharedWithUsers xmlns="91328b03-8ff5-4351-9cc7-829ceed2dd6d">
      <UserInfo>
        <DisplayName>Elizabeth Leiserson</DisplayName>
        <AccountId>3887</AccountId>
        <AccountType/>
      </UserInfo>
      <UserInfo>
        <DisplayName>Ericka Webster</DisplayName>
        <AccountId>3836</AccountId>
        <AccountType/>
      </UserInfo>
      <UserInfo>
        <DisplayName>Rachel M. Moses</DisplayName>
        <AccountId>44</AccountId>
        <AccountType/>
      </UserInfo>
      <UserInfo>
        <DisplayName>Yun Hyon</DisplayName>
        <AccountId>8333</AccountId>
        <AccountType/>
      </UserInfo>
      <UserInfo>
        <DisplayName>Kaitlin Krupp</DisplayName>
        <AccountId>3222</AccountId>
        <AccountType/>
      </UserInfo>
      <UserInfo>
        <DisplayName>Chaeli Glass</DisplayName>
        <AccountId>3936</AccountId>
        <AccountType/>
      </UserInfo>
      <UserInfo>
        <DisplayName>Alise Housden</DisplayName>
        <AccountId>2897</AccountId>
        <AccountType/>
      </UserInfo>
      <UserInfo>
        <DisplayName>Nick Armes</DisplayName>
        <AccountId>635</AccountId>
        <AccountType/>
      </UserInfo>
      <UserInfo>
        <DisplayName>Amber Vargas</DisplayName>
        <AccountId>276</AccountId>
        <AccountType/>
      </UserInfo>
      <UserInfo>
        <DisplayName>Jasmin Diaz</DisplayName>
        <AccountId>8554</AccountId>
        <AccountType/>
      </UserInfo>
      <UserInfo>
        <DisplayName>Tabitha Molnar</DisplayName>
        <AccountId>81</AccountId>
        <AccountType/>
      </UserInfo>
      <UserInfo>
        <DisplayName>Madison Baldacci</DisplayName>
        <AccountId>1908</AccountId>
        <AccountType/>
      </UserInfo>
      <UserInfo>
        <DisplayName>Katie Ovalle</DisplayName>
        <AccountId>2504</AccountId>
        <AccountType/>
      </UserInfo>
      <UserInfo>
        <DisplayName>Katie Kelly</DisplayName>
        <AccountId>5625</AccountId>
        <AccountType/>
      </UserInfo>
      <UserInfo>
        <DisplayName>Janet Mynatt</DisplayName>
        <AccountId>245</AccountId>
        <AccountType/>
      </UserInfo>
      <UserInfo>
        <DisplayName>Laura Felts</DisplayName>
        <AccountId>3914</AccountId>
        <AccountType/>
      </UserInfo>
      <UserInfo>
        <DisplayName>Cayla Thompson</DisplayName>
        <AccountId>4009</AccountId>
        <AccountType/>
      </UserInfo>
      <UserInfo>
        <DisplayName>Amy Allen</DisplayName>
        <AccountId>29</AccountId>
        <AccountType/>
      </UserInfo>
      <UserInfo>
        <DisplayName>Linda Blackwelder</DisplayName>
        <AccountId>62</AccountId>
        <AccountType/>
      </UserInfo>
      <UserInfo>
        <DisplayName>Rebecca Delius</DisplayName>
        <AccountId>3984</AccountId>
        <AccountType/>
      </UserInfo>
      <UserInfo>
        <DisplayName>Emmaline Staab</DisplayName>
        <AccountId>4049</AccountId>
        <AccountType/>
      </UserInfo>
      <UserInfo>
        <DisplayName>Gail Martin</DisplayName>
        <AccountId>492</AccountId>
        <AccountType/>
      </UserInfo>
      <UserInfo>
        <DisplayName>Doraida deLeon</DisplayName>
        <AccountId>3407</AccountId>
        <AccountType/>
      </UserInfo>
      <UserInfo>
        <DisplayName>Jana Goolsby</DisplayName>
        <AccountId>4886</AccountId>
        <AccountType/>
      </UserInfo>
      <UserInfo>
        <DisplayName>David Tarpley</DisplayName>
        <AccountId>57</AccountId>
        <AccountType/>
      </UserInfo>
      <UserInfo>
        <DisplayName>William Bush</DisplayName>
        <AccountId>49</AccountId>
        <AccountType/>
      </UserInfo>
      <UserInfo>
        <DisplayName>Jessica Castillo</DisplayName>
        <AccountId>8553</AccountId>
        <AccountType/>
      </UserInfo>
      <UserInfo>
        <DisplayName>N. Tanner Beck</DisplayName>
        <AccountId>1922</AccountId>
        <AccountType/>
      </UserInfo>
      <UserInfo>
        <DisplayName>Zane Jud</DisplayName>
        <AccountId>3725</AccountId>
        <AccountType/>
      </UserInfo>
      <UserInfo>
        <DisplayName>Karen Bush</DisplayName>
        <AccountId>306</AccountId>
        <AccountType/>
      </UserInfo>
      <UserInfo>
        <DisplayName>Kathleen Williams</DisplayName>
        <AccountId>1365</AccountId>
        <AccountType/>
      </UserInfo>
      <UserInfo>
        <DisplayName>Amelia Luna</DisplayName>
        <AccountId>43</AccountId>
        <AccountType/>
      </UserInfo>
      <UserInfo>
        <DisplayName>Matty Templeton</DisplayName>
        <AccountId>3841</AccountId>
        <AccountType/>
      </UserInfo>
      <UserInfo>
        <DisplayName>Peggy Pellett</DisplayName>
        <AccountId>68</AccountId>
        <AccountType/>
      </UserInfo>
      <UserInfo>
        <DisplayName>Caitlyn Matheney</DisplayName>
        <AccountId>4384</AccountId>
        <AccountType/>
      </UserInfo>
      <UserInfo>
        <DisplayName>Marla Williams</DisplayName>
        <AccountId>48</AccountId>
        <AccountType/>
      </UserInfo>
      <UserInfo>
        <DisplayName>Tiffany Trussell</DisplayName>
        <AccountId>4811</AccountId>
        <AccountType/>
      </UserInfo>
      <UserInfo>
        <DisplayName>Justin Smith</DisplayName>
        <AccountId>4717</AccountId>
        <AccountType/>
      </UserInfo>
      <UserInfo>
        <DisplayName>Colleen Ryan</DisplayName>
        <AccountId>1478</AccountId>
        <AccountType/>
      </UserInfo>
      <UserInfo>
        <DisplayName>Savannah Brister</DisplayName>
        <AccountId>5756</AccountId>
        <AccountType/>
      </UserInfo>
      <UserInfo>
        <DisplayName>Chasity Smith</DisplayName>
        <AccountId>4288</AccountId>
        <AccountType/>
      </UserInfo>
      <UserInfo>
        <DisplayName>DarKenya W. Waller</DisplayName>
        <AccountId>20</AccountId>
        <AccountType/>
      </UserInfo>
      <UserInfo>
        <DisplayName>Tomi Robb</DisplayName>
        <AccountId>3064</AccountId>
        <AccountType/>
      </UserInfo>
      <UserInfo>
        <DisplayName>Zachary Oswald</DisplayName>
        <AccountId>69</AccountId>
        <AccountType/>
      </UserInfo>
      <UserInfo>
        <DisplayName>Marletta Lilly</DisplayName>
        <AccountId>35</AccountId>
        <AccountType/>
      </UserInfo>
      <UserInfo>
        <DisplayName>Sonja Summers</DisplayName>
        <AccountId>330</AccountId>
        <AccountType/>
      </UserInfo>
      <UserInfo>
        <DisplayName>Trina Hughes</DisplayName>
        <AccountId>1248</AccountId>
        <AccountType/>
      </UserInfo>
      <UserInfo>
        <DisplayName>Trey Sellars</DisplayName>
        <AccountId>3950</AccountId>
        <AccountType/>
      </UserInfo>
      <UserInfo>
        <DisplayName>David Kozlowski</DisplayName>
        <AccountId>61</AccountId>
        <AccountType/>
      </UserInfo>
      <UserInfo>
        <DisplayName>Rhonda Bailey</DisplayName>
        <AccountId>3664</AccountId>
        <AccountType/>
      </UserInfo>
      <UserInfo>
        <DisplayName>Sarah Wester</DisplayName>
        <AccountId>3401</AccountId>
        <AccountType/>
      </UserInfo>
      <UserInfo>
        <DisplayName>Will Fitzpatrick</DisplayName>
        <AccountId>11487</AccountId>
        <AccountType/>
      </UserInfo>
    </SharedWithUsers>
    <Inactive xmlns="4de4abfd-53f5-43bb-96ab-5842d08f581c">false</Inactive>
    <Folder_x0020_Name xmlns="4de4abfd-53f5-43bb-96ab-5842d08f581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C5E32-B77B-4FFE-A1FB-4F48075357F3}"/>
</file>

<file path=customXml/itemProps2.xml><?xml version="1.0" encoding="utf-8"?>
<ds:datastoreItem xmlns:ds="http://schemas.openxmlformats.org/officeDocument/2006/customXml" ds:itemID="{2E6E9D52-3FBF-4AB3-A5ED-A992B4B38053}">
  <ds:schemaRefs>
    <ds:schemaRef ds:uri="http://schemas.microsoft.com/office/2006/metadata/properties"/>
    <ds:schemaRef ds:uri="http://schemas.microsoft.com/office/infopath/2007/PartnerControls"/>
    <ds:schemaRef ds:uri="3103db95-a666-467e-b670-3b742545c796"/>
    <ds:schemaRef ds:uri="a7c3756d-ec4f-4714-a2d1-19ac7d00a410"/>
  </ds:schemaRefs>
</ds:datastoreItem>
</file>

<file path=customXml/itemProps3.xml><?xml version="1.0" encoding="utf-8"?>
<ds:datastoreItem xmlns:ds="http://schemas.openxmlformats.org/officeDocument/2006/customXml" ds:itemID="{9ED6FCBE-1D4D-4F75-A31C-1CB4C80483DD}">
  <ds:schemaRefs>
    <ds:schemaRef ds:uri="http://schemas.openxmlformats.org/officeDocument/2006/bibliography"/>
  </ds:schemaRefs>
</ds:datastoreItem>
</file>

<file path=customXml/itemProps4.xml><?xml version="1.0" encoding="utf-8"?>
<ds:datastoreItem xmlns:ds="http://schemas.openxmlformats.org/officeDocument/2006/customXml" ds:itemID="{8DAEE5CB-7578-4F69-A415-C0DC07BF0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1945</Words>
  <Characters>11093</Characters>
  <Application>Microsoft Office Word</Application>
  <DocSecurity>0</DocSecurity>
  <Lines>92</Lines>
  <Paragraphs>26</Paragraphs>
  <ScaleCrop>false</ScaleCrop>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Leiserson</cp:lastModifiedBy>
  <cp:revision>146</cp:revision>
  <dcterms:created xsi:type="dcterms:W3CDTF">2023-09-14T12:14:00Z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0x010100A340C9B90ADB5E46BB6CE9595DCA5FB6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LFTHINGID">
    <vt:lpwstr>TKX5XAH10D1DR4</vt:lpwstr>
  </property>
  <property fmtid="{D5CDD505-2E9C-101B-9397-08002B2CF9AE}" pid="8" name="_ExtendedDescription">
    <vt:lpwstr/>
  </property>
  <property fmtid="{D5CDD505-2E9C-101B-9397-08002B2CF9AE}" pid="9" name="TriggerFlowInfo">
    <vt:lpwstr/>
  </property>
  <property fmtid="{D5CDD505-2E9C-101B-9397-08002B2CF9AE}" pid="10" name="LFORIGNAME">
    <vt:lpwstr>[http][TKX5XAH10D1DR4][][v][Motion to Dismiss &amp;amp; Counte] (4).docx</vt:lpwstr>
  </property>
  <property fmtid="{D5CDD505-2E9C-101B-9397-08002B2CF9AE}" pid="11" name="xd_Signature">
    <vt:bool>false</vt:bool>
  </property>
</Properties>
</file>