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6C010" w14:textId="77777777" w:rsidR="00E805E4" w:rsidRDefault="007000F7">
      <w:pPr>
        <w:pStyle w:val="Title"/>
      </w:pPr>
      <w:r>
        <w:t xml:space="preserve">Inclusion Position Statement </w:t>
      </w:r>
    </w:p>
    <w:p w14:paraId="35C32C62" w14:textId="77777777" w:rsidR="00E805E4" w:rsidRDefault="007000F7">
      <w:pPr>
        <w:pStyle w:val="Subtitle"/>
      </w:pPr>
      <w:r>
        <w:t>DRAFT FOR PUBLIC COMMENT – January 2026</w:t>
      </w:r>
    </w:p>
    <w:p w14:paraId="1B8A8E23" w14:textId="77777777" w:rsidR="00E805E4" w:rsidRDefault="007000F7">
      <w:pPr>
        <w:rPr>
          <w:i/>
          <w:iCs/>
        </w:rPr>
      </w:pPr>
      <w:r>
        <w:rPr>
          <w:i/>
          <w:iCs/>
        </w:rPr>
        <w:t xml:space="preserve">Throughout this statement, we use intentional language, such as disability. We are defining disability more broadly than as defined in the educational law. Disability includes anyone identified with a disability, developmental delay, or established condition. This is not only limited to those children identified under national and international laws and policies. We </w:t>
      </w:r>
      <w:proofErr w:type="gramStart"/>
      <w:r>
        <w:rPr>
          <w:i/>
          <w:iCs/>
        </w:rPr>
        <w:t>are including</w:t>
      </w:r>
      <w:proofErr w:type="gramEnd"/>
      <w:r>
        <w:rPr>
          <w:i/>
          <w:iCs/>
        </w:rPr>
        <w:t xml:space="preserve"> children who are not yet identified and those who have a disability and do not qualify for services under the law. </w:t>
      </w:r>
    </w:p>
    <w:p w14:paraId="2D7B82B9" w14:textId="77777777" w:rsidR="00E805E4" w:rsidRDefault="007000F7">
      <w:pPr>
        <w:rPr>
          <w:i/>
          <w:iCs/>
        </w:rPr>
      </w:pPr>
      <w:r>
        <w:rPr>
          <w:i/>
          <w:iCs/>
        </w:rPr>
        <w:t xml:space="preserve">The disability community is not a monolith, and we know that there is discourse around the words we use to describe disability and inclusion. However, we have used the word disability throughout this statement intentionally. We use it to honor disabled advocates who have worked to reclaim the word disability, challenge ableism, and show pride in disability as an identity.  </w:t>
      </w:r>
    </w:p>
    <w:p w14:paraId="7652BAE9" w14:textId="77777777" w:rsidR="00E805E4" w:rsidRDefault="00E805E4">
      <w:pPr>
        <w:rPr>
          <w:i/>
          <w:iCs/>
        </w:rPr>
      </w:pPr>
    </w:p>
    <w:p w14:paraId="5ED97654" w14:textId="77777777" w:rsidR="00E805E4" w:rsidRDefault="007000F7">
      <w:r>
        <w:t xml:space="preserve">The Position Statement on the inclusion of young children with disabilities for the Division for Early Childhood (DEC) of the Council for Exceptional Children (CEC) and the National Association for the Education of Young Children (NAEYC) is a public statement aimed at guiding anyone supporting young children toward the </w:t>
      </w:r>
      <w:hyperlink r:id="rId8">
        <w:r>
          <w:rPr>
            <w:color w:val="0563C1"/>
            <w:u w:val="single"/>
          </w:rPr>
          <w:t>rightful presence</w:t>
        </w:r>
      </w:hyperlink>
      <w:r>
        <w:t xml:space="preserve"> and full inclusion of each and every child with a disability* and their family. We ground this statement in the vision and mission of both organizations with a focus on supporting </w:t>
      </w:r>
      <w:proofErr w:type="gramStart"/>
      <w:r>
        <w:t>each and every</w:t>
      </w:r>
      <w:proofErr w:type="gramEnd"/>
      <w:r>
        <w:t xml:space="preserve"> child to reach their full potential in a society that cultivates inclusion and belonging as a lived reality for all children. It is a reminder that we, as a field, have a “responsibility to cultivate early learning communities in which the identities of all young children are affirmed” (Beneke et al., 2019, p. 27; </w:t>
      </w:r>
      <w:r>
        <w:t>Ferri &amp; Bacon, 2011). This statement is also a call to action that promotes our collective responsibility to change the overwhelming exclusion of young children with disabilities from their learning communities.</w:t>
      </w:r>
    </w:p>
    <w:p w14:paraId="579D4DC1" w14:textId="77777777" w:rsidR="00E805E4" w:rsidRDefault="007000F7">
      <w:r>
        <w:t xml:space="preserve">Inclusion is not simply a set of practices or a checklist—it is a stance that affirms the </w:t>
      </w:r>
      <w:hyperlink r:id="rId9">
        <w:r>
          <w:rPr>
            <w:u w:val="single"/>
          </w:rPr>
          <w:t>rightful presence</w:t>
        </w:r>
      </w:hyperlink>
      <w:r>
        <w:t xml:space="preserve"> of every child and family in our early childhood communities. For children with disabilities and their families, rightful presence means more than physically being in the same space at the same time. It means ensuring access, participation, and </w:t>
      </w:r>
      <w:proofErr w:type="gramStart"/>
      <w:r>
        <w:lastRenderedPageBreak/>
        <w:t>supports</w:t>
      </w:r>
      <w:proofErr w:type="gramEnd"/>
      <w:r>
        <w:t xml:space="preserve"> to promote belonging. It also means that our systems are built for and enriched by children with disabilities. Currently, our systems treat children with disabilities as invited guests who gain value from being included rather than as members who belong and</w:t>
      </w:r>
      <w:r>
        <w:t xml:space="preserve"> enrich our systems (</w:t>
      </w:r>
      <w:hyperlink r:id="rId10">
        <w:r>
          <w:rPr>
            <w:color w:val="0563C1"/>
            <w:u w:val="single"/>
          </w:rPr>
          <w:t>National Center on Inclusion Toward Rightful Presence</w:t>
        </w:r>
      </w:hyperlink>
      <w:r>
        <w:t>). We must aim to do no harm, to eliminate the impact of ableism, racism, and other forms of bias in our programs, and stop trying to change and “fix” children with disabilities and their families.</w:t>
      </w:r>
    </w:p>
    <w:p w14:paraId="48BCCBC4" w14:textId="77777777" w:rsidR="00E805E4" w:rsidRDefault="007000F7">
      <w:r>
        <w:t>This statement embodies a future that disrupts ableist systems, practices, and communities. We are committed to advancing inclusion through our daily actions, decisions, partnerships, and change. The responsibility is grounded in our field’s shared commitments:</w:t>
      </w:r>
    </w:p>
    <w:p w14:paraId="0DE1F233" w14:textId="77777777" w:rsidR="00E805E4" w:rsidRDefault="007000F7">
      <w:pPr>
        <w:numPr>
          <w:ilvl w:val="0"/>
          <w:numId w:val="1"/>
        </w:numPr>
        <w:pBdr>
          <w:top w:val="nil"/>
          <w:left w:val="nil"/>
          <w:bottom w:val="nil"/>
          <w:right w:val="nil"/>
          <w:between w:val="nil"/>
        </w:pBdr>
        <w:spacing w:before="60" w:after="60" w:line="276" w:lineRule="auto"/>
      </w:pPr>
      <w:r>
        <w:rPr>
          <w:color w:val="000000"/>
        </w:rPr>
        <w:t xml:space="preserve">The </w:t>
      </w:r>
      <w:r>
        <w:rPr>
          <w:b/>
          <w:bCs/>
          <w:color w:val="000000"/>
        </w:rPr>
        <w:t>Division for Early Childhood (DEC) Racial Equity Point of View</w:t>
      </w:r>
      <w:r>
        <w:rPr>
          <w:color w:val="000000"/>
        </w:rPr>
        <w:t xml:space="preserve"> calls for systemic change to ensure that children and families of color, including those with disabilities, experience meaningful improvements in their lives.</w:t>
      </w:r>
    </w:p>
    <w:p w14:paraId="301559C2" w14:textId="77777777" w:rsidR="00E805E4" w:rsidRDefault="007000F7">
      <w:pPr>
        <w:numPr>
          <w:ilvl w:val="0"/>
          <w:numId w:val="1"/>
        </w:numPr>
        <w:pBdr>
          <w:top w:val="nil"/>
          <w:left w:val="nil"/>
          <w:bottom w:val="nil"/>
          <w:right w:val="nil"/>
          <w:between w:val="nil"/>
        </w:pBdr>
        <w:spacing w:before="60" w:after="60" w:line="276" w:lineRule="auto"/>
      </w:pPr>
      <w:r>
        <w:rPr>
          <w:color w:val="000000"/>
        </w:rPr>
        <w:t xml:space="preserve">The </w:t>
      </w:r>
      <w:r>
        <w:rPr>
          <w:b/>
          <w:bCs/>
          <w:color w:val="000000"/>
        </w:rPr>
        <w:t>NAEYC Advancing Equity Statement</w:t>
      </w:r>
      <w:r>
        <w:rPr>
          <w:color w:val="000000"/>
        </w:rPr>
        <w:t xml:space="preserve"> emphasizes that all children have the right to equitable learning opportunities, and that we must dismantle barriers that create unfair outcomes.</w:t>
      </w:r>
    </w:p>
    <w:p w14:paraId="3E21290A" w14:textId="77777777" w:rsidR="00E805E4" w:rsidRDefault="007000F7">
      <w:pPr>
        <w:numPr>
          <w:ilvl w:val="0"/>
          <w:numId w:val="1"/>
        </w:numPr>
        <w:pBdr>
          <w:top w:val="nil"/>
          <w:left w:val="nil"/>
          <w:bottom w:val="nil"/>
          <w:right w:val="nil"/>
          <w:between w:val="nil"/>
        </w:pBdr>
        <w:spacing w:before="60" w:after="60" w:line="276" w:lineRule="auto"/>
      </w:pPr>
      <w:r>
        <w:rPr>
          <w:color w:val="000000"/>
        </w:rPr>
        <w:t xml:space="preserve">The </w:t>
      </w:r>
      <w:r>
        <w:rPr>
          <w:b/>
          <w:bCs/>
          <w:color w:val="000000"/>
        </w:rPr>
        <w:t>DEC Position Statement on Ethical Practice</w:t>
      </w:r>
      <w:r>
        <w:rPr>
          <w:color w:val="000000"/>
        </w:rPr>
        <w:t xml:space="preserve"> guides us to act with integrity, equity, and responsiveness in every interaction with children and families.</w:t>
      </w:r>
    </w:p>
    <w:p w14:paraId="19303C00" w14:textId="77777777" w:rsidR="00E805E4" w:rsidRDefault="007000F7">
      <w:pPr>
        <w:numPr>
          <w:ilvl w:val="0"/>
          <w:numId w:val="1"/>
        </w:numPr>
        <w:pBdr>
          <w:top w:val="nil"/>
          <w:left w:val="nil"/>
          <w:bottom w:val="nil"/>
          <w:right w:val="nil"/>
          <w:between w:val="nil"/>
        </w:pBdr>
        <w:spacing w:before="60" w:after="60" w:line="276" w:lineRule="auto"/>
      </w:pPr>
      <w:r>
        <w:rPr>
          <w:color w:val="000000"/>
        </w:rPr>
        <w:t xml:space="preserve">The </w:t>
      </w:r>
      <w:r>
        <w:rPr>
          <w:b/>
          <w:bCs/>
          <w:color w:val="000000"/>
        </w:rPr>
        <w:t>NAEYC Developmentally Appropriate Practice Statement</w:t>
      </w:r>
      <w:r>
        <w:rPr>
          <w:color w:val="000000"/>
        </w:rPr>
        <w:t xml:space="preserve"> emphasizes the importance of considering the commonality of children’s learning and development, individuality of children’s strengths, needs, and experiences, and cultural and social context.</w:t>
      </w:r>
    </w:p>
    <w:p w14:paraId="6A7A9DE5" w14:textId="77777777" w:rsidR="00E805E4" w:rsidRDefault="00E805E4">
      <w:pPr>
        <w:spacing w:after="0" w:line="240" w:lineRule="auto"/>
        <w:ind w:left="720"/>
      </w:pPr>
    </w:p>
    <w:p w14:paraId="7D08487C" w14:textId="77777777" w:rsidR="00E805E4" w:rsidRDefault="007000F7">
      <w:r>
        <w:t>Taken together, these commitments remind us that inclusion is both an ethical obligation and a daily practice. It requires us to learn from and center the voices and experiences of children with disabilities and their families, to create learning environments where they are valued and supported, and to work collectively to confront the barriers that stand in the way of equity and belonging.</w:t>
      </w:r>
    </w:p>
    <w:p w14:paraId="41D1A546" w14:textId="77777777" w:rsidR="00E805E4" w:rsidRDefault="007000F7">
      <w:r>
        <w:t xml:space="preserve">This position statement affirms that inclusion and rightful presence are not optional or supplemental—they are essential. It calls on </w:t>
      </w:r>
      <w:proofErr w:type="gramStart"/>
      <w:r>
        <w:t>each and every</w:t>
      </w:r>
      <w:proofErr w:type="gramEnd"/>
      <w:r>
        <w:t xml:space="preserve"> one of us to ensure that children with disabilities and their families are not only </w:t>
      </w:r>
      <w:proofErr w:type="gramStart"/>
      <w:r>
        <w:t>welcomed, but</w:t>
      </w:r>
      <w:proofErr w:type="gramEnd"/>
      <w:r>
        <w:t xml:space="preserve"> celebrated as vital members of the community of every early childhood program.</w:t>
      </w:r>
    </w:p>
    <w:p w14:paraId="22BE3B62" w14:textId="77777777" w:rsidR="00E805E4" w:rsidRDefault="007000F7">
      <w:pPr>
        <w:pStyle w:val="Heading2"/>
      </w:pPr>
      <w:r>
        <w:lastRenderedPageBreak/>
        <w:t>Definition</w:t>
      </w:r>
    </w:p>
    <w:p w14:paraId="76F8E6FB" w14:textId="77777777" w:rsidR="00E805E4" w:rsidRDefault="007000F7">
      <w:r>
        <w:t xml:space="preserve">Early childhood inclusion refers to the rightful presence of </w:t>
      </w:r>
      <w:proofErr w:type="gramStart"/>
      <w:r>
        <w:t>each and every</w:t>
      </w:r>
      <w:proofErr w:type="gramEnd"/>
      <w:r>
        <w:t xml:space="preserve"> young child with a disability and their families in all early childhood education (ECE) environments. Inclusive spaces should, above all else, do no harm to children with disabilities and their families. Inclusion emphasizes that young children with disabilities and their families have the right to feel belonging within every early childhood environment, space, and community with their strengths affirmed and their needs supported. </w:t>
      </w:r>
    </w:p>
    <w:p w14:paraId="45C216DB" w14:textId="77777777" w:rsidR="00E805E4" w:rsidRDefault="00E805E4">
      <w:pPr>
        <w:spacing w:line="301" w:lineRule="auto"/>
        <w:ind w:left="720"/>
        <w:rPr>
          <w:i/>
          <w:iCs/>
        </w:rPr>
      </w:pPr>
    </w:p>
    <w:p w14:paraId="41F3AA26" w14:textId="77777777" w:rsidR="00E805E4" w:rsidRDefault="007000F7">
      <w:pPr>
        <w:spacing w:line="301" w:lineRule="auto"/>
        <w:ind w:left="720"/>
        <w:rPr>
          <w:i/>
          <w:iCs/>
        </w:rPr>
      </w:pPr>
      <w:r>
        <w:rPr>
          <w:i/>
          <w:iCs/>
        </w:rPr>
        <w:t xml:space="preserve">Inclusion means intentionally providing equitable access to learning opportunities, implementing </w:t>
      </w:r>
      <w:proofErr w:type="gramStart"/>
      <w:r>
        <w:rPr>
          <w:i/>
          <w:iCs/>
        </w:rPr>
        <w:t>supports</w:t>
      </w:r>
      <w:proofErr w:type="gramEnd"/>
      <w:r>
        <w:rPr>
          <w:i/>
          <w:iCs/>
        </w:rPr>
        <w:t xml:space="preserve"> that promote participation and engagement, ensuring systems that affirm individuals with disabilities, and fostering belonging for </w:t>
      </w:r>
      <w:proofErr w:type="gramStart"/>
      <w:r>
        <w:rPr>
          <w:i/>
          <w:iCs/>
        </w:rPr>
        <w:t>each and every</w:t>
      </w:r>
      <w:proofErr w:type="gramEnd"/>
      <w:r>
        <w:rPr>
          <w:i/>
          <w:iCs/>
        </w:rPr>
        <w:t xml:space="preserve"> child.</w:t>
      </w:r>
    </w:p>
    <w:p w14:paraId="3BD33E6F" w14:textId="77777777" w:rsidR="00E805E4" w:rsidRDefault="007000F7">
      <w:pPr>
        <w:pStyle w:val="Heading2"/>
      </w:pPr>
      <w:r>
        <w:t xml:space="preserve">Characteristics </w:t>
      </w:r>
    </w:p>
    <w:p w14:paraId="320EFEDE" w14:textId="77777777" w:rsidR="00E805E4" w:rsidRDefault="007000F7">
      <w:r>
        <w:t xml:space="preserve">There are four defining features of inclusion: </w:t>
      </w:r>
    </w:p>
    <w:p w14:paraId="04545CA0" w14:textId="77777777" w:rsidR="00E805E4" w:rsidRDefault="007000F7">
      <w:pPr>
        <w:numPr>
          <w:ilvl w:val="0"/>
          <w:numId w:val="1"/>
        </w:numPr>
        <w:pBdr>
          <w:top w:val="nil"/>
          <w:left w:val="nil"/>
          <w:bottom w:val="nil"/>
          <w:right w:val="nil"/>
          <w:between w:val="nil"/>
        </w:pBdr>
        <w:spacing w:before="60" w:after="60" w:line="276" w:lineRule="auto"/>
      </w:pPr>
      <w:r>
        <w:rPr>
          <w:i/>
          <w:iCs/>
          <w:color w:val="000000"/>
        </w:rPr>
        <w:t>Access.</w:t>
      </w:r>
      <w:r>
        <w:rPr>
          <w:color w:val="000000"/>
        </w:rPr>
        <w:t xml:space="preserve"> Inclusion begins with ensuring that children and families can identify, enter, and sustain meaningful presence in a wide variety of high-quality early learning opportunities, activities, settings, and natural environments. Such spaces may have common or unique features and can include community contexts such as Early Head Start, early intervention sessions, Head Start, center and home-based </w:t>
      </w:r>
      <w:proofErr w:type="gramStart"/>
      <w:r>
        <w:rPr>
          <w:color w:val="000000"/>
        </w:rPr>
        <w:t>child care</w:t>
      </w:r>
      <w:proofErr w:type="gramEnd"/>
      <w:r>
        <w:rPr>
          <w:color w:val="000000"/>
        </w:rPr>
        <w:t>, faith-based programs, recreational programs, preschool, public and private pre-kindergarten through early</w:t>
      </w:r>
      <w:r>
        <w:rPr>
          <w:color w:val="000000"/>
        </w:rPr>
        <w:t xml:space="preserve"> elementary education, and blended early childhood education/early childhood special education programs. While there are many places in which inclusion occurs, and many ways to implement inclusion in these spaces, inclusion is facilitated by children’s physical and social environment. Universal Design for Learning (UDL) is one educational framework that guides organizations in removing physical and structural barriers and creating more flexible spaces and learning opportunities to support a wide variety of </w:t>
      </w:r>
      <w:r>
        <w:rPr>
          <w:color w:val="000000"/>
        </w:rPr>
        <w:t xml:space="preserve">learners. UDL promotes equitable access to learning by encouraging early childhood programs to offer multiple ways for children and family members to engage with materials, understand concepts, and demonstrate their learning. Access also refers to the social environment (attitudes, beliefs, and relationships) of </w:t>
      </w:r>
      <w:proofErr w:type="gramStart"/>
      <w:r>
        <w:rPr>
          <w:color w:val="000000"/>
        </w:rPr>
        <w:t xml:space="preserve">a </w:t>
      </w:r>
      <w:r>
        <w:rPr>
          <w:color w:val="000000"/>
        </w:rPr>
        <w:lastRenderedPageBreak/>
        <w:t>space</w:t>
      </w:r>
      <w:proofErr w:type="gramEnd"/>
      <w:r>
        <w:rPr>
          <w:color w:val="000000"/>
        </w:rPr>
        <w:t>. High-quality early childhood spaces that acknowledge, value, and welcome the autonomy and contributions of young children and their families promote inclusion. </w:t>
      </w:r>
    </w:p>
    <w:p w14:paraId="33720EAA" w14:textId="77777777" w:rsidR="00E805E4" w:rsidRDefault="007000F7">
      <w:pPr>
        <w:numPr>
          <w:ilvl w:val="0"/>
          <w:numId w:val="1"/>
        </w:numPr>
        <w:pBdr>
          <w:top w:val="nil"/>
          <w:left w:val="nil"/>
          <w:bottom w:val="nil"/>
          <w:right w:val="nil"/>
          <w:between w:val="nil"/>
        </w:pBdr>
        <w:spacing w:before="60" w:after="60" w:line="276" w:lineRule="auto"/>
      </w:pPr>
      <w:r>
        <w:rPr>
          <w:i/>
          <w:iCs/>
          <w:color w:val="000000"/>
        </w:rPr>
        <w:t>Participation.</w:t>
      </w:r>
      <w:r>
        <w:rPr>
          <w:color w:val="000000"/>
        </w:rPr>
        <w:t xml:space="preserve"> Access alone does not ensure high-quality inclusion. Inclusion is also promoted through the participation of young children and their families in early learning spaces. Participation is understood as each child and family’s ability to engage meaningfully as members </w:t>
      </w:r>
      <w:proofErr w:type="gramStart"/>
      <w:r>
        <w:rPr>
          <w:color w:val="000000"/>
        </w:rPr>
        <w:t>in a given</w:t>
      </w:r>
      <w:proofErr w:type="gramEnd"/>
      <w:r>
        <w:rPr>
          <w:color w:val="000000"/>
        </w:rPr>
        <w:t xml:space="preserve"> space, according to their identified preferences and capacity. Providers in early learning spaces intentionally apply high-quality practices, such as those described in </w:t>
      </w:r>
      <w:hyperlink r:id="rId11">
        <w:r>
          <w:rPr>
            <w:color w:val="0563C1"/>
            <w:u w:val="single"/>
          </w:rPr>
          <w:t>the DEC Recommended Practices</w:t>
        </w:r>
      </w:hyperlink>
      <w:r>
        <w:rPr>
          <w:color w:val="000000"/>
        </w:rPr>
        <w:t xml:space="preserve">, </w:t>
      </w:r>
      <w:hyperlink r:id="rId12">
        <w:r>
          <w:rPr>
            <w:color w:val="0563C1"/>
            <w:u w:val="single"/>
          </w:rPr>
          <w:t>NAEYC Developmentally Appropriate Practice Statement</w:t>
        </w:r>
      </w:hyperlink>
      <w:hyperlink r:id="rId13">
        <w:r>
          <w:rPr>
            <w:color w:val="000000"/>
          </w:rPr>
          <w:t xml:space="preserve">, </w:t>
        </w:r>
      </w:hyperlink>
      <w:r>
        <w:rPr>
          <w:color w:val="000000"/>
        </w:rPr>
        <w:t>social-emotional learning frameworks, UDL, and tiered instructional models, to support meaningful participation for all children and their families. Young children and families benefit from a wide range of individualized and differentiated supports that provide them with the knowledge, skills, and services essential for promoting their desired outcomes. In addition to universal practices, individualized instruction and caregiver coaching are often needed to meet the unique needs of children and families. Th</w:t>
      </w:r>
      <w:r>
        <w:rPr>
          <w:color w:val="000000"/>
        </w:rPr>
        <w:t xml:space="preserve">is includes embedding specially designed instruction within everyday routines and activities, and making adaptations and modifications to ensure </w:t>
      </w:r>
      <w:proofErr w:type="gramStart"/>
      <w:r>
        <w:rPr>
          <w:color w:val="000000"/>
        </w:rPr>
        <w:t>each and every</w:t>
      </w:r>
      <w:proofErr w:type="gramEnd"/>
      <w:r>
        <w:rPr>
          <w:color w:val="000000"/>
        </w:rPr>
        <w:t xml:space="preserve"> child can fully access and participate alongside their peers. The way in which young children and families choose to participate will vary, shaped by their individual agency, strengths, preferences, needs, resources, and the early learning spaces in which they are members. Similarly, the ways in which early childhood professionals respond and provide</w:t>
      </w:r>
      <w:r>
        <w:rPr>
          <w:color w:val="000000"/>
        </w:rPr>
        <w:t xml:space="preserve"> individualized support also shape participation. Affirming the genuine membership of young children and families promotes belonging, in which their unique characteristics and contributions are valued and celebrated. </w:t>
      </w:r>
    </w:p>
    <w:p w14:paraId="39A94D80" w14:textId="77777777" w:rsidR="00E805E4" w:rsidRDefault="007000F7">
      <w:pPr>
        <w:numPr>
          <w:ilvl w:val="0"/>
          <w:numId w:val="1"/>
        </w:numPr>
        <w:pBdr>
          <w:top w:val="nil"/>
          <w:left w:val="nil"/>
          <w:bottom w:val="nil"/>
          <w:right w:val="nil"/>
          <w:between w:val="nil"/>
        </w:pBdr>
        <w:spacing w:before="60" w:after="60" w:line="276" w:lineRule="auto"/>
      </w:pPr>
      <w:r>
        <w:rPr>
          <w:i/>
          <w:iCs/>
          <w:color w:val="000000"/>
        </w:rPr>
        <w:t>System-level Supports</w:t>
      </w:r>
      <w:r>
        <w:rPr>
          <w:b/>
          <w:bCs/>
          <w:i/>
          <w:iCs/>
          <w:color w:val="000000"/>
        </w:rPr>
        <w:t>.</w:t>
      </w:r>
      <w:r>
        <w:rPr>
          <w:b/>
          <w:bCs/>
          <w:color w:val="000000"/>
        </w:rPr>
        <w:t xml:space="preserve"> </w:t>
      </w:r>
      <w:r>
        <w:rPr>
          <w:color w:val="000000"/>
        </w:rPr>
        <w:t xml:space="preserve">A comprehensive system of </w:t>
      </w:r>
      <w:proofErr w:type="gramStart"/>
      <w:r>
        <w:rPr>
          <w:color w:val="000000"/>
        </w:rPr>
        <w:t>supports</w:t>
      </w:r>
      <w:proofErr w:type="gramEnd"/>
      <w:r>
        <w:rPr>
          <w:color w:val="000000"/>
        </w:rPr>
        <w:t xml:space="preserve"> is necessary to ensure that young children, their families, and early childhood professionals have access to high-quality early learning spaces in which they experience a sense of belonging. </w:t>
      </w:r>
      <w:proofErr w:type="gramStart"/>
      <w:r>
        <w:rPr>
          <w:color w:val="000000"/>
        </w:rPr>
        <w:t>Systems-level</w:t>
      </w:r>
      <w:proofErr w:type="gramEnd"/>
      <w:r>
        <w:rPr>
          <w:color w:val="000000"/>
        </w:rPr>
        <w:t xml:space="preserve"> supports are vital to ensure that professionals, programs, and organizations are prepared with the competencies, resources, and dispositions needed to implement effective inclusive practices. Professionals in the field need resources that promote the health and wellbeing </w:t>
      </w:r>
      <w:r>
        <w:rPr>
          <w:color w:val="000000"/>
        </w:rPr>
        <w:t xml:space="preserve">of the early childhood workforce. Early childhood professionals at all levels - practitioners, specialists, administrators – must have access to ongoing, high-quality professional development opportunities grounded in established evidence-based frameworks (e.g., developmentally </w:t>
      </w:r>
      <w:r>
        <w:rPr>
          <w:color w:val="000000"/>
        </w:rPr>
        <w:lastRenderedPageBreak/>
        <w:t xml:space="preserve">appropriate practices, program quality standards, early learning standards and guidelines, professional competencies and standards), that are designed to guide inclusive practices in the field. Finally, </w:t>
      </w:r>
      <w:proofErr w:type="gramStart"/>
      <w:r>
        <w:rPr>
          <w:color w:val="000000"/>
        </w:rPr>
        <w:t>supports are</w:t>
      </w:r>
      <w:proofErr w:type="gramEnd"/>
      <w:r>
        <w:rPr>
          <w:color w:val="000000"/>
        </w:rPr>
        <w:t xml:space="preserve"> needed to ensure </w:t>
      </w:r>
      <w:r>
        <w:rPr>
          <w:color w:val="000000"/>
        </w:rPr>
        <w:t>that all members in early childhood spaces have the capacity to engage in continuous communication and collaboration that address the needs and priorities of all young children and their families.</w:t>
      </w:r>
    </w:p>
    <w:p w14:paraId="2F0EF4C1" w14:textId="77777777" w:rsidR="00E805E4" w:rsidRDefault="007000F7">
      <w:pPr>
        <w:numPr>
          <w:ilvl w:val="0"/>
          <w:numId w:val="1"/>
        </w:numPr>
        <w:pBdr>
          <w:top w:val="nil"/>
          <w:left w:val="nil"/>
          <w:bottom w:val="nil"/>
          <w:right w:val="nil"/>
          <w:between w:val="nil"/>
        </w:pBdr>
        <w:spacing w:before="60" w:after="60" w:line="276" w:lineRule="auto"/>
      </w:pPr>
      <w:r>
        <w:rPr>
          <w:i/>
          <w:iCs/>
          <w:color w:val="000000"/>
        </w:rPr>
        <w:t>Belonging.</w:t>
      </w:r>
      <w:r>
        <w:rPr>
          <w:color w:val="000000"/>
        </w:rPr>
        <w:t xml:space="preserve"> Inclusive systems aim to promote belonging for </w:t>
      </w:r>
      <w:proofErr w:type="gramStart"/>
      <w:r>
        <w:rPr>
          <w:color w:val="000000"/>
        </w:rPr>
        <w:t>each and every</w:t>
      </w:r>
      <w:proofErr w:type="gramEnd"/>
      <w:r>
        <w:rPr>
          <w:color w:val="000000"/>
        </w:rPr>
        <w:t xml:space="preserve"> child and family they serve. Belonging is a feeling of “membership” experienced by children through relationships and interactions, shaped by the practices, services, and policies implemented across the systems in which children and their families participate. The ways young children and their families experience belonging are shaped by inclusionary or exclusionary values and attitudes of the communities with which they interact. To promote belo</w:t>
      </w:r>
      <w:r>
        <w:rPr>
          <w:color w:val="000000"/>
        </w:rPr>
        <w:t xml:space="preserve">nging, everyone must honor children with disabilities’ individual agency, ensure the identities of young learners and their families are honored, affirmed, and valued within all spaces, and promote connection. </w:t>
      </w:r>
    </w:p>
    <w:p w14:paraId="6BD04E00" w14:textId="77777777" w:rsidR="00E805E4" w:rsidRDefault="007000F7">
      <w:pPr>
        <w:pStyle w:val="Heading2"/>
      </w:pPr>
      <w:r>
        <w:t>Call to Action</w:t>
      </w:r>
    </w:p>
    <w:p w14:paraId="314D578D" w14:textId="77777777" w:rsidR="00E805E4" w:rsidRDefault="007000F7">
      <w:r>
        <w:t xml:space="preserve">Inclusion and rightful presence for young children with disabilities and their families is not simply a vision for the </w:t>
      </w:r>
      <w:proofErr w:type="gramStart"/>
      <w:r>
        <w:t>future—</w:t>
      </w:r>
      <w:proofErr w:type="gramEnd"/>
      <w:r>
        <w:t xml:space="preserve">it is the work of today. We know there are barriers to inclusion that exist within a system designed to exclude. Yet, each moment in an early learning environment is an opportunity to affirm children’s dignity, challenge ableism, and strengthen partnerships with families. By grounding our practice in the characteristics of inclusion, we create spaces where children with disabilities are not only invited and </w:t>
      </w:r>
      <w:proofErr w:type="gramStart"/>
      <w:r>
        <w:t>included, but</w:t>
      </w:r>
      <w:proofErr w:type="gramEnd"/>
      <w:r>
        <w:t xml:space="preserve"> truly belong and are centered.</w:t>
      </w:r>
    </w:p>
    <w:p w14:paraId="7F24984E" w14:textId="77777777" w:rsidR="00E805E4" w:rsidRDefault="007000F7">
      <w:r>
        <w:t xml:space="preserve">We call on </w:t>
      </w:r>
      <w:proofErr w:type="gramStart"/>
      <w:r>
        <w:t>each and every</w:t>
      </w:r>
      <w:proofErr w:type="gramEnd"/>
      <w:r>
        <w:t xml:space="preserve"> one of us to carry this commitment forward: </w:t>
      </w:r>
    </w:p>
    <w:p w14:paraId="39F3F19B" w14:textId="77777777" w:rsidR="00E805E4" w:rsidRDefault="007000F7">
      <w:pPr>
        <w:numPr>
          <w:ilvl w:val="0"/>
          <w:numId w:val="2"/>
        </w:numPr>
        <w:pBdr>
          <w:top w:val="nil"/>
          <w:left w:val="nil"/>
          <w:bottom w:val="nil"/>
          <w:right w:val="nil"/>
          <w:between w:val="nil"/>
        </w:pBdr>
        <w:spacing w:before="60" w:after="60"/>
      </w:pPr>
      <w:r>
        <w:rPr>
          <w:color w:val="000000"/>
        </w:rPr>
        <w:t xml:space="preserve">To partner deeply and make impactful decisions with families, </w:t>
      </w:r>
    </w:p>
    <w:p w14:paraId="5E889828" w14:textId="77777777" w:rsidR="00E805E4" w:rsidRDefault="007000F7">
      <w:pPr>
        <w:numPr>
          <w:ilvl w:val="0"/>
          <w:numId w:val="2"/>
        </w:numPr>
        <w:pBdr>
          <w:top w:val="nil"/>
          <w:left w:val="nil"/>
          <w:bottom w:val="nil"/>
          <w:right w:val="nil"/>
          <w:between w:val="nil"/>
        </w:pBdr>
        <w:spacing w:before="60" w:after="60"/>
      </w:pPr>
      <w:r>
        <w:rPr>
          <w:color w:val="000000"/>
        </w:rPr>
        <w:t xml:space="preserve">To reflect on and disrupt biases in our own practice, </w:t>
      </w:r>
    </w:p>
    <w:p w14:paraId="39420FFF" w14:textId="77777777" w:rsidR="00E805E4" w:rsidRDefault="007000F7">
      <w:pPr>
        <w:numPr>
          <w:ilvl w:val="0"/>
          <w:numId w:val="2"/>
        </w:numPr>
        <w:pBdr>
          <w:top w:val="nil"/>
          <w:left w:val="nil"/>
          <w:bottom w:val="nil"/>
          <w:right w:val="nil"/>
          <w:between w:val="nil"/>
        </w:pBdr>
        <w:spacing w:before="60" w:after="60"/>
      </w:pPr>
      <w:r>
        <w:rPr>
          <w:color w:val="000000"/>
        </w:rPr>
        <w:t xml:space="preserve">To shape environments that honor every child’s identity, agency, and potential, and </w:t>
      </w:r>
    </w:p>
    <w:p w14:paraId="366C7ED5" w14:textId="77777777" w:rsidR="00E805E4" w:rsidRDefault="007000F7">
      <w:pPr>
        <w:numPr>
          <w:ilvl w:val="0"/>
          <w:numId w:val="2"/>
        </w:numPr>
        <w:pBdr>
          <w:top w:val="nil"/>
          <w:left w:val="nil"/>
          <w:bottom w:val="nil"/>
          <w:right w:val="nil"/>
          <w:between w:val="nil"/>
        </w:pBdr>
        <w:spacing w:before="60" w:after="60"/>
      </w:pPr>
      <w:r>
        <w:rPr>
          <w:color w:val="000000"/>
        </w:rPr>
        <w:t xml:space="preserve">To advocate for systems and policies that uphold justice. </w:t>
      </w:r>
    </w:p>
    <w:p w14:paraId="7B4A7902" w14:textId="77777777" w:rsidR="00E805E4" w:rsidRDefault="007000F7">
      <w:r>
        <w:t>When we act together with courage and care, we ensure that every child’s rightful presence is recognized, valued, and celebrated—today and always.</w:t>
      </w:r>
    </w:p>
    <w:p w14:paraId="73113470" w14:textId="77777777" w:rsidR="00E805E4" w:rsidRDefault="00E805E4"/>
    <w:p w14:paraId="7615B07C" w14:textId="77777777" w:rsidR="00E805E4" w:rsidRDefault="007000F7">
      <w:r>
        <w:lastRenderedPageBreak/>
        <w:t>Appendices in the final position statement will include:</w:t>
      </w:r>
    </w:p>
    <w:p w14:paraId="3920725E" w14:textId="77777777" w:rsidR="00E805E4" w:rsidRDefault="007000F7">
      <w:pPr>
        <w:numPr>
          <w:ilvl w:val="0"/>
          <w:numId w:val="1"/>
        </w:numPr>
        <w:pBdr>
          <w:top w:val="nil"/>
          <w:left w:val="nil"/>
          <w:bottom w:val="nil"/>
          <w:right w:val="nil"/>
          <w:between w:val="nil"/>
        </w:pBdr>
        <w:spacing w:before="60" w:after="60" w:line="276" w:lineRule="auto"/>
        <w:rPr>
          <w:color w:val="000000"/>
        </w:rPr>
      </w:pPr>
      <w:r>
        <w:rPr>
          <w:color w:val="000000"/>
        </w:rPr>
        <w:t>Appendix A: Workgroup Members</w:t>
      </w:r>
    </w:p>
    <w:p w14:paraId="2CD05A97" w14:textId="77777777" w:rsidR="00E805E4" w:rsidRDefault="007000F7">
      <w:pPr>
        <w:numPr>
          <w:ilvl w:val="0"/>
          <w:numId w:val="1"/>
        </w:numPr>
        <w:pBdr>
          <w:top w:val="nil"/>
          <w:left w:val="nil"/>
          <w:bottom w:val="nil"/>
          <w:right w:val="nil"/>
          <w:between w:val="nil"/>
        </w:pBdr>
        <w:spacing w:before="60" w:after="60" w:line="276" w:lineRule="auto"/>
      </w:pPr>
      <w:r>
        <w:rPr>
          <w:color w:val="000000"/>
        </w:rPr>
        <w:t>Appendix B: Timeline and Process Leading to Revisions</w:t>
      </w:r>
    </w:p>
    <w:p w14:paraId="50300F8C" w14:textId="77777777" w:rsidR="00E805E4" w:rsidRDefault="007000F7">
      <w:pPr>
        <w:numPr>
          <w:ilvl w:val="0"/>
          <w:numId w:val="1"/>
        </w:numPr>
        <w:pBdr>
          <w:top w:val="nil"/>
          <w:left w:val="nil"/>
          <w:bottom w:val="nil"/>
          <w:right w:val="nil"/>
          <w:between w:val="nil"/>
        </w:pBdr>
        <w:spacing w:before="60" w:after="60" w:line="276" w:lineRule="auto"/>
        <w:rPr>
          <w:color w:val="000000"/>
        </w:rPr>
      </w:pPr>
      <w:r>
        <w:rPr>
          <w:color w:val="000000"/>
        </w:rPr>
        <w:t>Appendix C: Glossary (Will be included in the final statement)</w:t>
      </w:r>
    </w:p>
    <w:p w14:paraId="5ED14CA4" w14:textId="77777777" w:rsidR="00E805E4" w:rsidRDefault="007000F7">
      <w:pPr>
        <w:numPr>
          <w:ilvl w:val="0"/>
          <w:numId w:val="1"/>
        </w:numPr>
        <w:pBdr>
          <w:top w:val="nil"/>
          <w:left w:val="nil"/>
          <w:bottom w:val="nil"/>
          <w:right w:val="nil"/>
          <w:between w:val="nil"/>
        </w:pBdr>
        <w:spacing w:before="60" w:after="60" w:line="276" w:lineRule="auto"/>
        <w:rPr>
          <w:color w:val="000000"/>
        </w:rPr>
      </w:pPr>
      <w:r>
        <w:rPr>
          <w:color w:val="000000"/>
        </w:rPr>
        <w:t>Appendix D: Research informing the position statement (Will be included in the final statement)</w:t>
      </w:r>
    </w:p>
    <w:p w14:paraId="1E76272B" w14:textId="77777777" w:rsidR="00E805E4" w:rsidRDefault="007000F7">
      <w:pPr>
        <w:spacing w:before="240" w:after="240"/>
        <w:ind w:left="1080"/>
      </w:pPr>
      <w:r>
        <w:br w:type="page"/>
      </w:r>
    </w:p>
    <w:p w14:paraId="35C94C34" w14:textId="77777777" w:rsidR="00E805E4" w:rsidRDefault="007000F7">
      <w:pPr>
        <w:pStyle w:val="Heading2"/>
      </w:pPr>
      <w:r>
        <w:lastRenderedPageBreak/>
        <w:t xml:space="preserve">Appendix A: Position Statement Workgroup Members </w:t>
      </w:r>
    </w:p>
    <w:tbl>
      <w:tblPr>
        <w:tblStyle w:val="a"/>
        <w:tblW w:w="89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9"/>
        <w:gridCol w:w="5760"/>
      </w:tblGrid>
      <w:tr w:rsidR="00E805E4" w14:paraId="2ECA098C" w14:textId="77777777">
        <w:tc>
          <w:tcPr>
            <w:tcW w:w="3149"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067D277C" w14:textId="77777777" w:rsidR="00E805E4" w:rsidRDefault="007000F7">
            <w:pPr>
              <w:rPr>
                <w:b/>
                <w:bCs/>
                <w:color w:val="FFFFFF"/>
              </w:rPr>
            </w:pPr>
            <w:r>
              <w:rPr>
                <w:b/>
                <w:bCs/>
                <w:color w:val="FFFFFF"/>
              </w:rPr>
              <w:t>Name</w:t>
            </w:r>
          </w:p>
        </w:tc>
        <w:tc>
          <w:tcPr>
            <w:tcW w:w="576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0A606331" w14:textId="77777777" w:rsidR="00E805E4" w:rsidRDefault="007000F7">
            <w:pPr>
              <w:rPr>
                <w:b/>
                <w:bCs/>
                <w:color w:val="FFFFFF"/>
              </w:rPr>
            </w:pPr>
            <w:r>
              <w:rPr>
                <w:b/>
                <w:bCs/>
                <w:color w:val="FFFFFF"/>
              </w:rPr>
              <w:t>Affiliation</w:t>
            </w:r>
          </w:p>
        </w:tc>
      </w:tr>
      <w:tr w:rsidR="00E805E4" w14:paraId="065622A9"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17DD02EC" w14:textId="77777777" w:rsidR="00E805E4" w:rsidRDefault="007000F7">
            <w:r>
              <w:t>Megan Vinh</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4C5E104" w14:textId="77777777" w:rsidR="00E805E4" w:rsidRDefault="007000F7">
            <w:r>
              <w:t>Chair; Frank Porter Graham Child Development Institute; Senior Technical Assistance Specialist</w:t>
            </w:r>
          </w:p>
        </w:tc>
      </w:tr>
      <w:tr w:rsidR="00E805E4" w14:paraId="4526C029"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317C5675" w14:textId="77777777" w:rsidR="00E805E4" w:rsidRDefault="007000F7">
            <w:r>
              <w:t>Ruby Batz</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A0D8EAA" w14:textId="77777777" w:rsidR="00E805E4" w:rsidRDefault="007000F7">
            <w:r>
              <w:t>University of Nevada, Reno</w:t>
            </w:r>
          </w:p>
        </w:tc>
      </w:tr>
      <w:tr w:rsidR="00E805E4" w14:paraId="2BB11376"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7AA6CBC5" w14:textId="77777777" w:rsidR="00E805E4" w:rsidRDefault="007000F7">
            <w:r>
              <w:t>Chih-Ing Lim</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BE42D77" w14:textId="77777777" w:rsidR="00E805E4" w:rsidRDefault="007000F7">
            <w:r>
              <w:t>Frank Porter Graham Child Development Institute; Senior Technical Assistance Specialist; Co-chair, Inclusion institute</w:t>
            </w:r>
          </w:p>
        </w:tc>
      </w:tr>
      <w:tr w:rsidR="00E805E4" w14:paraId="615C7CA9"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434458A1" w14:textId="77777777" w:rsidR="00E805E4" w:rsidRDefault="007000F7">
            <w:r>
              <w:t>Michelle Ogorek</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008EC42" w14:textId="77777777" w:rsidR="00E805E4" w:rsidRDefault="007000F7">
            <w:r>
              <w:t>WI Early Learning TA and Implementation Grant Training and TA/ PD for State Providers</w:t>
            </w:r>
          </w:p>
        </w:tc>
      </w:tr>
      <w:tr w:rsidR="00E805E4" w14:paraId="2CBDCC64"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342753AF" w14:textId="77777777" w:rsidR="00E805E4" w:rsidRDefault="007000F7">
            <w:r>
              <w:t>Jenna Weglarz-Ward</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3C236D1" w14:textId="77777777" w:rsidR="00E805E4" w:rsidRDefault="007000F7">
            <w:r>
              <w:t>University of Nevada, Las Vegas</w:t>
            </w:r>
          </w:p>
        </w:tc>
      </w:tr>
      <w:tr w:rsidR="00E805E4" w14:paraId="6B7E4386"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0856D15A" w14:textId="77777777" w:rsidR="00E805E4" w:rsidRDefault="007000F7">
            <w:r>
              <w:t>Hailey Love</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AA25F1" w14:textId="77777777" w:rsidR="00E805E4" w:rsidRDefault="007000F7">
            <w:r>
              <w:t>University of Wisconsin, Madison</w:t>
            </w:r>
          </w:p>
        </w:tc>
      </w:tr>
      <w:tr w:rsidR="00E805E4" w14:paraId="14FB0189"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65F155A0" w14:textId="77777777" w:rsidR="00E805E4" w:rsidRDefault="007000F7">
            <w:r>
              <w:t>Shawna Harbin</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66ED554" w14:textId="77777777" w:rsidR="00E805E4" w:rsidRDefault="007000F7">
            <w:r>
              <w:t>Purdue University, West Lafayette</w:t>
            </w:r>
          </w:p>
        </w:tc>
      </w:tr>
      <w:tr w:rsidR="00E805E4" w14:paraId="29DDB0B0"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7C76AEB8" w14:textId="77777777" w:rsidR="00E805E4" w:rsidRDefault="007000F7">
            <w:r>
              <w:t>Kris Bowman</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019D3C2" w14:textId="77777777" w:rsidR="00E805E4" w:rsidRDefault="007000F7">
            <w:r>
              <w:t>REDI, The Amoore Group</w:t>
            </w:r>
          </w:p>
        </w:tc>
      </w:tr>
      <w:tr w:rsidR="00E805E4" w14:paraId="757C9D8E"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38D0297A" w14:textId="77777777" w:rsidR="00E805E4" w:rsidRDefault="007000F7">
            <w:r>
              <w:t>Mary Harrill</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4D4097C" w14:textId="77777777" w:rsidR="00E805E4" w:rsidRDefault="007000F7">
            <w:r>
              <w:t>NAEYC</w:t>
            </w:r>
          </w:p>
        </w:tc>
      </w:tr>
      <w:tr w:rsidR="00E805E4" w14:paraId="1F69BA9D"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48B543AD" w14:textId="77777777" w:rsidR="00E805E4" w:rsidRDefault="007000F7">
            <w:r>
              <w:t>Melody Mann</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CF21DAF" w14:textId="77777777" w:rsidR="00E805E4" w:rsidRDefault="007000F7">
            <w:r>
              <w:t>DEC Intern</w:t>
            </w:r>
          </w:p>
        </w:tc>
      </w:tr>
      <w:tr w:rsidR="00E805E4" w14:paraId="667D2F2A" w14:textId="77777777">
        <w:tc>
          <w:tcPr>
            <w:tcW w:w="3149" w:type="dxa"/>
            <w:tcBorders>
              <w:top w:val="single" w:sz="4" w:space="0" w:color="CCCCCC"/>
              <w:left w:val="single" w:sz="4" w:space="0" w:color="CCCCCC"/>
              <w:bottom w:val="single" w:sz="4" w:space="0" w:color="CCCCCC"/>
              <w:right w:val="single" w:sz="4" w:space="0" w:color="CCCCCC"/>
            </w:tcBorders>
            <w:shd w:val="clear" w:color="auto" w:fill="E5F1F4"/>
            <w:tcMar>
              <w:top w:w="80" w:type="dxa"/>
              <w:left w:w="120" w:type="dxa"/>
              <w:bottom w:w="80" w:type="dxa"/>
              <w:right w:w="120" w:type="dxa"/>
            </w:tcMar>
          </w:tcPr>
          <w:p w14:paraId="3628CC36" w14:textId="77777777" w:rsidR="00E805E4" w:rsidRDefault="007000F7">
            <w:r>
              <w:t>Peggy Kemp</w:t>
            </w:r>
          </w:p>
        </w:tc>
        <w:tc>
          <w:tcPr>
            <w:tcW w:w="57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62F0FC7" w14:textId="77777777" w:rsidR="00E805E4" w:rsidRDefault="007000F7">
            <w:r>
              <w:t>DEC Executive Director</w:t>
            </w:r>
          </w:p>
        </w:tc>
      </w:tr>
    </w:tbl>
    <w:p w14:paraId="6B875158" w14:textId="77777777" w:rsidR="00E805E4" w:rsidRDefault="007000F7">
      <w:r>
        <w:lastRenderedPageBreak/>
        <w:t>*The workgroup also thanks Catasha Williams (Frank Porter Graham Child Development Institute) for her contributions to its early work.</w:t>
      </w:r>
    </w:p>
    <w:p w14:paraId="41489D2C" w14:textId="77777777" w:rsidR="00E805E4" w:rsidRDefault="007000F7">
      <w:pPr>
        <w:pStyle w:val="Heading2"/>
      </w:pPr>
      <w:r>
        <w:t>Appendix B: Timeline and Process Leading to the Revisions</w:t>
      </w:r>
    </w:p>
    <w:p w14:paraId="19C272BC" w14:textId="77777777" w:rsidR="00E805E4" w:rsidRDefault="007000F7">
      <w:r>
        <w:rPr>
          <w:b/>
          <w:bCs/>
        </w:rPr>
        <w:t>Fall 2024</w:t>
      </w:r>
      <w:r>
        <w:t>: To inform the initial revisions process, the workgroup developed a survey to gather early childhood educators’ perspectives on:</w:t>
      </w:r>
    </w:p>
    <w:p w14:paraId="53B8504A" w14:textId="77777777" w:rsidR="00E805E4" w:rsidRDefault="007000F7">
      <w:pPr>
        <w:numPr>
          <w:ilvl w:val="0"/>
          <w:numId w:val="1"/>
        </w:numPr>
        <w:pBdr>
          <w:top w:val="nil"/>
          <w:left w:val="nil"/>
          <w:bottom w:val="nil"/>
          <w:right w:val="nil"/>
          <w:between w:val="nil"/>
        </w:pBdr>
        <w:spacing w:before="60" w:after="60" w:line="276" w:lineRule="auto"/>
      </w:pPr>
      <w:r>
        <w:rPr>
          <w:color w:val="000000"/>
        </w:rPr>
        <w:t>the position statement’s current definition of inclusion and components of inclusion (e.g., what needs to remain, what needs to be updated)</w:t>
      </w:r>
    </w:p>
    <w:p w14:paraId="60ED1759" w14:textId="77777777" w:rsidR="00E805E4" w:rsidRDefault="007000F7">
      <w:pPr>
        <w:numPr>
          <w:ilvl w:val="0"/>
          <w:numId w:val="1"/>
        </w:numPr>
        <w:pBdr>
          <w:top w:val="nil"/>
          <w:left w:val="nil"/>
          <w:bottom w:val="nil"/>
          <w:right w:val="nil"/>
          <w:between w:val="nil"/>
        </w:pBdr>
        <w:spacing w:before="60" w:after="60" w:line="276" w:lineRule="auto"/>
      </w:pPr>
      <w:r>
        <w:rPr>
          <w:rFonts w:ascii="Times New Roman" w:eastAsia="Times New Roman" w:hAnsi="Times New Roman" w:cs="Times New Roman"/>
          <w:color w:val="000000"/>
          <w:sz w:val="14"/>
          <w:szCs w:val="14"/>
        </w:rPr>
        <w:t xml:space="preserve"> </w:t>
      </w:r>
      <w:r>
        <w:rPr>
          <w:color w:val="000000"/>
        </w:rPr>
        <w:t>the level of agreement with the current position statement</w:t>
      </w:r>
    </w:p>
    <w:p w14:paraId="02A5A3D4" w14:textId="77777777" w:rsidR="00E805E4" w:rsidRDefault="007000F7">
      <w:pPr>
        <w:numPr>
          <w:ilvl w:val="0"/>
          <w:numId w:val="1"/>
        </w:numPr>
        <w:pBdr>
          <w:top w:val="nil"/>
          <w:left w:val="nil"/>
          <w:bottom w:val="nil"/>
          <w:right w:val="nil"/>
          <w:between w:val="nil"/>
        </w:pBdr>
        <w:spacing w:before="60" w:after="60" w:line="276" w:lineRule="auto"/>
      </w:pPr>
      <w:r>
        <w:rPr>
          <w:color w:val="000000"/>
        </w:rPr>
        <w:t>what quality “inclusion” looks like to them</w:t>
      </w:r>
    </w:p>
    <w:p w14:paraId="278A9E1C" w14:textId="77777777" w:rsidR="00E805E4" w:rsidRDefault="007000F7">
      <w:pPr>
        <w:numPr>
          <w:ilvl w:val="0"/>
          <w:numId w:val="1"/>
        </w:numPr>
        <w:pBdr>
          <w:top w:val="nil"/>
          <w:left w:val="nil"/>
          <w:bottom w:val="nil"/>
          <w:right w:val="nil"/>
          <w:between w:val="nil"/>
        </w:pBdr>
        <w:spacing w:before="60" w:after="60" w:line="276" w:lineRule="auto"/>
      </w:pPr>
      <w:r>
        <w:rPr>
          <w:color w:val="000000"/>
        </w:rPr>
        <w:t>current research that should inform revisions to the position statement</w:t>
      </w:r>
    </w:p>
    <w:p w14:paraId="0BE06474" w14:textId="77777777" w:rsidR="00E805E4" w:rsidRDefault="007000F7">
      <w:pPr>
        <w:numPr>
          <w:ilvl w:val="0"/>
          <w:numId w:val="1"/>
        </w:numPr>
        <w:pBdr>
          <w:top w:val="nil"/>
          <w:left w:val="nil"/>
          <w:bottom w:val="nil"/>
          <w:right w:val="nil"/>
          <w:between w:val="nil"/>
        </w:pBdr>
        <w:spacing w:before="60" w:after="60" w:line="276" w:lineRule="auto"/>
      </w:pPr>
      <w:r>
        <w:rPr>
          <w:rFonts w:ascii="Times New Roman" w:eastAsia="Times New Roman" w:hAnsi="Times New Roman" w:cs="Times New Roman"/>
          <w:color w:val="000000"/>
          <w:sz w:val="14"/>
          <w:szCs w:val="14"/>
        </w:rPr>
        <w:t xml:space="preserve"> </w:t>
      </w:r>
      <w:r>
        <w:rPr>
          <w:color w:val="000000"/>
        </w:rPr>
        <w:t>whether/how ECE professionals are using the position statement in their everyday practice</w:t>
      </w:r>
    </w:p>
    <w:p w14:paraId="3A7A7D2C" w14:textId="77777777" w:rsidR="00E805E4" w:rsidRDefault="007000F7">
      <w:r>
        <w:rPr>
          <w:b/>
          <w:bCs/>
        </w:rPr>
        <w:t>Winter/Spring 2025</w:t>
      </w:r>
      <w:r>
        <w:t>: The workgroup issued the survey and analyzed the results (almost 200 educators from within DEC’s and NAEYC’s membership submitted responses).</w:t>
      </w:r>
    </w:p>
    <w:p w14:paraId="0820E252" w14:textId="77777777" w:rsidR="00E805E4" w:rsidRDefault="007000F7">
      <w:r>
        <w:rPr>
          <w:b/>
          <w:bCs/>
        </w:rPr>
        <w:t>Summer 2025</w:t>
      </w:r>
      <w:r>
        <w:t xml:space="preserve">: The workgroup held a series of listening sessions with early childhood educators to explore themes that emerged from the survey responses. </w:t>
      </w:r>
    </w:p>
    <w:p w14:paraId="70971564" w14:textId="77777777" w:rsidR="00E805E4" w:rsidRDefault="007000F7">
      <w:r>
        <w:rPr>
          <w:b/>
          <w:bCs/>
        </w:rPr>
        <w:t>Fall 2025:</w:t>
      </w:r>
      <w:r>
        <w:t xml:space="preserve"> The workgroup began drafting a revised position statement with a focus on an updated definition of inclusion and its components. It held well-attended sessions at DEC’s and NAEYC’s Annual Conference to gather feedback on the draft revisions.</w:t>
      </w:r>
    </w:p>
    <w:p w14:paraId="6F1C809B" w14:textId="77777777" w:rsidR="00E805E4" w:rsidRDefault="007000F7">
      <w:r>
        <w:rPr>
          <w:b/>
          <w:bCs/>
        </w:rPr>
        <w:t>Winter 2026:</w:t>
      </w:r>
      <w:r>
        <w:t xml:space="preserve"> The workgroup continued to revise the position statement based on feedback gathered at the fall conferences. </w:t>
      </w:r>
    </w:p>
    <w:p w14:paraId="337EAE13" w14:textId="77777777" w:rsidR="00E805E4" w:rsidRDefault="007000F7">
      <w:r>
        <w:rPr>
          <w:b/>
          <w:bCs/>
        </w:rPr>
        <w:t>Spring 2026</w:t>
      </w:r>
      <w:r>
        <w:t>: The revised statement is issued for public comment.</w:t>
      </w:r>
    </w:p>
    <w:p w14:paraId="1DE8DACF" w14:textId="77777777" w:rsidR="00E805E4" w:rsidRDefault="007000F7">
      <w:r>
        <w:rPr>
          <w:b/>
          <w:bCs/>
        </w:rPr>
        <w:t>Summer 2026</w:t>
      </w:r>
      <w:r>
        <w:t xml:space="preserve"> (anticipated) – DEC and NAEYC will approve a final, updated position statement</w:t>
      </w:r>
    </w:p>
    <w:p w14:paraId="091EEAC1" w14:textId="77777777" w:rsidR="00E805E4" w:rsidRDefault="007000F7">
      <w:r>
        <w:rPr>
          <w:b/>
          <w:bCs/>
        </w:rPr>
        <w:t>Fall 2026</w:t>
      </w:r>
      <w:r>
        <w:t xml:space="preserve"> (anticipated) – The position statement will be published and disseminated. </w:t>
      </w:r>
    </w:p>
    <w:sectPr w:rsidR="00E805E4">
      <w:headerReference w:type="default" r:id="rId14"/>
      <w:footerReference w:type="even" r:id="rId15"/>
      <w:footerReference w:type="default" r:id="rId16"/>
      <w:pgSz w:w="12240" w:h="15840"/>
      <w:pgMar w:top="1440" w:right="1440" w:bottom="1440" w:left="1440" w:header="115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E34BE" w14:textId="77777777" w:rsidR="007000F7" w:rsidRDefault="007000F7">
      <w:pPr>
        <w:spacing w:before="0" w:after="0" w:line="240" w:lineRule="auto"/>
      </w:pPr>
      <w:r>
        <w:separator/>
      </w:r>
    </w:p>
  </w:endnote>
  <w:endnote w:type="continuationSeparator" w:id="0">
    <w:p w14:paraId="2F21F57A" w14:textId="77777777" w:rsidR="007000F7" w:rsidRDefault="007000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01C9D2C-4EA0-4B3C-BA89-99CA96B3F4D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F6D3CA-48FE-42E7-8ED6-8B8892CB1D82}"/>
  </w:font>
  <w:font w:name="Cambria">
    <w:panose1 w:val="02040503050406030204"/>
    <w:charset w:val="00"/>
    <w:family w:val="roman"/>
    <w:pitch w:val="variable"/>
    <w:sig w:usb0="E00006FF" w:usb1="420024FF" w:usb2="02000000" w:usb3="00000000" w:csb0="0000019F" w:csb1="00000000"/>
    <w:embedRegular r:id="rId3" w:fontKey="{849DB238-1CF5-4446-BA28-185C3661B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428C" w14:textId="77777777" w:rsidR="00E805E4" w:rsidRDefault="007000F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C1AAF62" w14:textId="77777777" w:rsidR="00E805E4" w:rsidRDefault="00E805E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181E" w14:textId="77777777" w:rsidR="00E805E4" w:rsidRDefault="007000F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55854">
      <w:rPr>
        <w:noProof/>
        <w:color w:val="000000"/>
      </w:rPr>
      <w:t>1</w:t>
    </w:r>
    <w:r>
      <w:rPr>
        <w:color w:val="000000"/>
      </w:rPr>
      <w:fldChar w:fldCharType="end"/>
    </w:r>
  </w:p>
  <w:p w14:paraId="331D2857" w14:textId="77777777" w:rsidR="00E805E4" w:rsidRDefault="007000F7">
    <w:pPr>
      <w:pBdr>
        <w:top w:val="nil"/>
        <w:left w:val="nil"/>
        <w:bottom w:val="nil"/>
        <w:right w:val="nil"/>
        <w:between w:val="nil"/>
      </w:pBdr>
      <w:tabs>
        <w:tab w:val="center" w:pos="4680"/>
        <w:tab w:val="right" w:pos="9360"/>
      </w:tabs>
      <w:rPr>
        <w:color w:val="000000"/>
      </w:rPr>
    </w:pPr>
    <w:r>
      <w:rPr>
        <w:color w:val="000000"/>
      </w:rPr>
      <w:t>© 2026 National Association for the Education of Young Children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4AE6B" w14:textId="77777777" w:rsidR="007000F7" w:rsidRDefault="007000F7">
      <w:pPr>
        <w:spacing w:before="0" w:after="0" w:line="240" w:lineRule="auto"/>
      </w:pPr>
      <w:r>
        <w:separator/>
      </w:r>
    </w:p>
  </w:footnote>
  <w:footnote w:type="continuationSeparator" w:id="0">
    <w:p w14:paraId="74E3303D" w14:textId="77777777" w:rsidR="007000F7" w:rsidRDefault="007000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19D4" w14:textId="77777777" w:rsidR="00E805E4" w:rsidRDefault="007000F7">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0" locked="0" layoutInCell="1" hidden="0" allowOverlap="1" wp14:anchorId="417FE72A" wp14:editId="62D410B2">
          <wp:simplePos x="0" y="0"/>
          <wp:positionH relativeFrom="margin">
            <wp:posOffset>0</wp:posOffset>
          </wp:positionH>
          <wp:positionV relativeFrom="margin">
            <wp:posOffset>-645018</wp:posOffset>
          </wp:positionV>
          <wp:extent cx="2713990" cy="434340"/>
          <wp:effectExtent l="0" t="0" r="0" b="0"/>
          <wp:wrapSquare wrapText="bothSides" distT="0" distB="0" distL="114300" distR="114300"/>
          <wp:docPr id="2" name="image2.png" descr="A black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text&#10;&#10;AI-generated content may be incorrect."/>
                  <pic:cNvPicPr preferRelativeResize="0"/>
                </pic:nvPicPr>
                <pic:blipFill>
                  <a:blip r:embed="rId1"/>
                  <a:srcRect/>
                  <a:stretch>
                    <a:fillRect/>
                  </a:stretch>
                </pic:blipFill>
                <pic:spPr>
                  <a:xfrm>
                    <a:off x="0" y="0"/>
                    <a:ext cx="2713990" cy="434340"/>
                  </a:xfrm>
                  <a:prstGeom prst="rect">
                    <a:avLst/>
                  </a:prstGeom>
                  <a:ln/>
                </pic:spPr>
              </pic:pic>
            </a:graphicData>
          </a:graphic>
        </wp:anchor>
      </w:drawing>
    </w:r>
    <w:r>
      <w:rPr>
        <w:color w:val="000000"/>
      </w:rPr>
      <w:t xml:space="preserve"> </w:t>
    </w:r>
    <w:r>
      <w:rPr>
        <w:noProof/>
      </w:rPr>
      <w:drawing>
        <wp:anchor distT="0" distB="0" distL="114300" distR="114300" simplePos="0" relativeHeight="251659264" behindDoc="0" locked="0" layoutInCell="1" hidden="0" allowOverlap="1" wp14:anchorId="7C915FB7" wp14:editId="7011F4A0">
          <wp:simplePos x="0" y="0"/>
          <wp:positionH relativeFrom="column">
            <wp:posOffset>2989580</wp:posOffset>
          </wp:positionH>
          <wp:positionV relativeFrom="paragraph">
            <wp:posOffset>-405764</wp:posOffset>
          </wp:positionV>
          <wp:extent cx="1407795" cy="7404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11528" b="9839"/>
                  <a:stretch>
                    <a:fillRect/>
                  </a:stretch>
                </pic:blipFill>
                <pic:spPr>
                  <a:xfrm>
                    <a:off x="0" y="0"/>
                    <a:ext cx="1407795" cy="7404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22B3B"/>
    <w:multiLevelType w:val="multilevel"/>
    <w:tmpl w:val="5CEAE7E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D074DEF"/>
    <w:multiLevelType w:val="multilevel"/>
    <w:tmpl w:val="367EDF38"/>
    <w:lvl w:ilvl="0">
      <w:start w:val="1"/>
      <w:numFmt w:val="bullet"/>
      <w:lvlText w:val="●"/>
      <w:lvlJc w:val="left"/>
      <w:pPr>
        <w:ind w:left="1080" w:hanging="360"/>
      </w:pPr>
      <w:rPr>
        <w:rFonts w:ascii="Noto Sans Symbols" w:eastAsia="Noto Sans Symbols" w:hAnsi="Noto Sans Symbols" w:cs="Noto Sans Symbols"/>
        <w:b/>
        <w:bC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1446998755">
    <w:abstractNumId w:val="1"/>
  </w:num>
  <w:num w:numId="2" w16cid:durableId="1599678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5E4"/>
    <w:rsid w:val="001E3581"/>
    <w:rsid w:val="00655854"/>
    <w:rsid w:val="007000F7"/>
    <w:rsid w:val="00E80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1D02"/>
  <w15:docId w15:val="{E2BD0A81-54D9-40A5-B29E-E6BA19A3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before="12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180" w:line="240" w:lineRule="auto"/>
      <w:outlineLvl w:val="0"/>
    </w:pPr>
    <w:rPr>
      <w:rFonts w:ascii="Georgia" w:eastAsia="Georgia" w:hAnsi="Georgia" w:cs="Georgia"/>
      <w:color w:val="1D3464"/>
      <w:sz w:val="56"/>
      <w:szCs w:val="56"/>
    </w:rPr>
  </w:style>
  <w:style w:type="paragraph" w:styleId="Heading2">
    <w:name w:val="heading 2"/>
    <w:basedOn w:val="Normal"/>
    <w:next w:val="Normal"/>
    <w:uiPriority w:val="9"/>
    <w:unhideWhenUsed/>
    <w:qFormat/>
    <w:pPr>
      <w:keepNext/>
      <w:keepLines/>
      <w:pBdr>
        <w:top w:val="nil"/>
        <w:left w:val="nil"/>
        <w:bottom w:val="single" w:sz="8" w:space="4" w:color="0E78A0"/>
        <w:right w:val="nil"/>
        <w:between w:val="nil"/>
      </w:pBdr>
      <w:spacing w:before="480" w:line="240" w:lineRule="auto"/>
      <w:outlineLvl w:val="1"/>
    </w:pPr>
    <w:rPr>
      <w:color w:val="0E78A0"/>
      <w:sz w:val="40"/>
      <w:szCs w:val="40"/>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60" w:line="240" w:lineRule="auto"/>
      <w:outlineLvl w:val="2"/>
    </w:pPr>
    <w:rPr>
      <w:b/>
      <w:bCs/>
      <w:color w:val="03527F"/>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0" w:after="0" w:line="240" w:lineRule="auto"/>
      <w:outlineLvl w:val="3"/>
    </w:pPr>
    <w:rPr>
      <w:i/>
      <w:iCs/>
      <w:color w:val="2E74B5"/>
      <w:sz w:val="22"/>
      <w:szCs w:val="22"/>
    </w:rPr>
  </w:style>
  <w:style w:type="paragraph" w:styleId="Heading5">
    <w:name w:val="heading 5"/>
    <w:basedOn w:val="Normal"/>
    <w:next w:val="Normal"/>
    <w:uiPriority w:val="9"/>
    <w:semiHidden/>
    <w:unhideWhenUsed/>
    <w:qFormat/>
    <w:pPr>
      <w:pBdr>
        <w:top w:val="nil"/>
        <w:left w:val="nil"/>
        <w:bottom w:val="nil"/>
        <w:right w:val="nil"/>
        <w:between w:val="nil"/>
      </w:pBdr>
      <w:spacing w:before="0" w:after="0" w:line="240" w:lineRule="auto"/>
      <w:outlineLvl w:val="4"/>
    </w:pPr>
    <w:rPr>
      <w:color w:val="2E74B5"/>
      <w:sz w:val="22"/>
      <w:szCs w:val="22"/>
    </w:rPr>
  </w:style>
  <w:style w:type="paragraph" w:styleId="Heading6">
    <w:name w:val="heading 6"/>
    <w:basedOn w:val="Normal"/>
    <w:next w:val="Normal"/>
    <w:uiPriority w:val="9"/>
    <w:semiHidden/>
    <w:unhideWhenUsed/>
    <w:qFormat/>
    <w:pPr>
      <w:pBdr>
        <w:top w:val="nil"/>
        <w:left w:val="nil"/>
        <w:bottom w:val="nil"/>
        <w:right w:val="nil"/>
        <w:between w:val="nil"/>
      </w:pBdr>
      <w:spacing w:before="0" w:after="0" w:line="240" w:lineRule="auto"/>
      <w:outlineLvl w:val="5"/>
    </w:pPr>
    <w:rPr>
      <w:color w:val="1F4D7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0" w:after="0" w:line="240" w:lineRule="auto"/>
    </w:pPr>
    <w:rPr>
      <w:color w:val="000000"/>
      <w:sz w:val="56"/>
      <w:szCs w:val="56"/>
    </w:rPr>
  </w:style>
  <w:style w:type="paragraph" w:styleId="Subtitle">
    <w:name w:val="Subtitle"/>
    <w:basedOn w:val="Normal"/>
    <w:next w:val="Normal"/>
    <w:uiPriority w:val="11"/>
    <w:qFormat/>
    <w:rPr>
      <w:rFonts w:ascii="Georgia" w:eastAsia="Georgia" w:hAnsi="Georgia" w:cs="Georgia"/>
      <w:color w:val="1D3464"/>
      <w:sz w:val="36"/>
      <w:szCs w:val="36"/>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wiftschools.org/wp-content/uploads/2025/06/Rightful-Presence-in-Education-Systems-Brief.pdf" TargetMode="External"/><Relationship Id="rId13" Type="http://schemas.openxmlformats.org/officeDocument/2006/relationships/hyperlink" Target="https://www.naeyc.org/resources/pubs/books/dap-fourth-edi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aeyc.org/resources/pubs/books/dap-fourth-edi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sped.org/dec-recommended-practic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swiftschools.org/wp-content/uploads/2025/06/Rightful-Presence-in-Education-Systems-Brief.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Z+72uSDdKo5cgvUIDoIaaLDrg==">CgMxLjA4AHIhMVZDdW9pbDhXeVVhOFNVcnM3c1d2bVdnUmllWjliRk5t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2251</Words>
  <Characters>12835</Characters>
  <Application>Microsoft Office Word</Application>
  <DocSecurity>0</DocSecurity>
  <Lines>106</Lines>
  <Paragraphs>30</Paragraphs>
  <ScaleCrop>false</ScaleCrop>
  <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Harrill</dc:creator>
  <cp:lastModifiedBy>Mary Harrill</cp:lastModifiedBy>
  <cp:revision>2</cp:revision>
  <dcterms:created xsi:type="dcterms:W3CDTF">2026-05-20T17:02:00Z</dcterms:created>
  <dcterms:modified xsi:type="dcterms:W3CDTF">2026-05-20T17:02:00Z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0x010100E8262940B4594741A66DE9492695D1FF</vt:lpwstr>
  </property>
  <property fmtid="{D5CDD505-2E9C-101B-9397-08002B2CF9AE}" pid="3" name="MediaServiceImageTags">
    <vt:lpwstr>MediaServiceImageTags</vt:lpwstr>
  </property>
</Properties>
</file>