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BFE5" w14:textId="2BE3A59E" w:rsidR="00E37C8E" w:rsidRPr="00E37C8E" w:rsidRDefault="00E37C8E" w:rsidP="00E37C8E">
      <w:pPr>
        <w:jc w:val="center"/>
        <w:rPr>
          <w:b/>
          <w:bCs/>
          <w:sz w:val="32"/>
          <w:szCs w:val="32"/>
        </w:rPr>
      </w:pPr>
      <w:r w:rsidRPr="00E37C8E">
        <w:rPr>
          <w:b/>
          <w:bCs/>
          <w:sz w:val="32"/>
          <w:szCs w:val="32"/>
        </w:rPr>
        <w:t>Unlocking Assessment Success: The Leadership Escape Room</w:t>
      </w:r>
      <w:r w:rsidR="00F1699E" w:rsidRPr="00E37C8E">
        <w:rPr>
          <w:b/>
          <w:bCs/>
          <w:sz w:val="32"/>
          <w:szCs w:val="32"/>
        </w:rPr>
        <w:br/>
      </w:r>
      <w:r w:rsidRPr="00E37C8E">
        <w:rPr>
          <w:b/>
          <w:bCs/>
          <w:sz w:val="32"/>
          <w:szCs w:val="32"/>
        </w:rPr>
        <w:t>Principal Self-Check Handout</w:t>
      </w:r>
    </w:p>
    <w:p w14:paraId="72795E88" w14:textId="630FBF3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Purpose</w:t>
      </w:r>
    </w:p>
    <w:p w14:paraId="352C7960" w14:textId="63567C8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Use this handout to reflect on how collaboration, assessment, and monitoring are functioning across your school. This is a self-check tool to guide leadership actions</w:t>
      </w:r>
      <w:r w:rsidR="00E37C8E" w:rsidRPr="00E37C8E">
        <w:rPr>
          <w:sz w:val="24"/>
          <w:szCs w:val="24"/>
        </w:rPr>
        <w:t xml:space="preserve"> </w:t>
      </w:r>
      <w:r w:rsidRPr="00E37C8E">
        <w:rPr>
          <w:sz w:val="24"/>
          <w:szCs w:val="24"/>
        </w:rPr>
        <w:t>not an evaluation.</w:t>
      </w:r>
    </w:p>
    <w:p w14:paraId="3E02943A" w14:textId="77777777" w:rsidR="00E37C8E" w:rsidRPr="00E37C8E" w:rsidRDefault="00E37C8E">
      <w:pPr>
        <w:spacing w:before="40" w:after="80"/>
        <w:rPr>
          <w:sz w:val="24"/>
          <w:szCs w:val="24"/>
        </w:rPr>
      </w:pPr>
    </w:p>
    <w:p w14:paraId="063915FF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1. Collaborative Team (CCC) Structures</w:t>
      </w:r>
    </w:p>
    <w:p w14:paraId="570D7B00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CCCs occur consistently and as scheduled</w:t>
      </w:r>
      <w:r w:rsidRPr="00E37C8E">
        <w:rPr>
          <w:sz w:val="24"/>
          <w:szCs w:val="24"/>
        </w:rPr>
        <w:br/>
        <w:t>☐ Meetings focus on student work and data—not logistics</w:t>
      </w:r>
      <w:r w:rsidRPr="00E37C8E">
        <w:rPr>
          <w:sz w:val="24"/>
          <w:szCs w:val="24"/>
        </w:rPr>
        <w:br/>
        <w:t>☐ Teams leave with clear, documented next steps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What evidence shows CCCs are improving instruction?</w:t>
      </w:r>
    </w:p>
    <w:p w14:paraId="3B34A503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2. Use of Evidence &amp; Data</w:t>
      </w:r>
    </w:p>
    <w:p w14:paraId="6DAB4126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Decisions are grounded in assessment data and student work</w:t>
      </w:r>
      <w:r w:rsidRPr="00E37C8E">
        <w:rPr>
          <w:sz w:val="24"/>
          <w:szCs w:val="24"/>
        </w:rPr>
        <w:br/>
        <w:t>☐ Teams analyze trends, not isolated scores</w:t>
      </w:r>
      <w:r w:rsidRPr="00E37C8E">
        <w:rPr>
          <w:sz w:val="24"/>
          <w:szCs w:val="24"/>
        </w:rPr>
        <w:br/>
        <w:t>☐ Instructional adjustments are based on evidence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Where do teams need support moving from data review to action?</w:t>
      </w:r>
    </w:p>
    <w:p w14:paraId="5DEF3F92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3. Assessment Alignment &amp; Grading</w:t>
      </w:r>
    </w:p>
    <w:p w14:paraId="3E66AC1D" w14:textId="512C1FF2" w:rsidR="0037205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Grading practices are consistent across classrooms</w:t>
      </w:r>
      <w:r w:rsidRPr="00E37C8E">
        <w:rPr>
          <w:sz w:val="24"/>
          <w:szCs w:val="24"/>
        </w:rPr>
        <w:br/>
        <w:t>☐ Grades reflect mastery of standards</w:t>
      </w:r>
      <w:r w:rsidRPr="00E37C8E">
        <w:rPr>
          <w:sz w:val="24"/>
          <w:szCs w:val="24"/>
        </w:rPr>
        <w:br/>
        <w:t>☐ CFA</w:t>
      </w:r>
      <w:r w:rsidR="00427642">
        <w:rPr>
          <w:sz w:val="24"/>
          <w:szCs w:val="24"/>
        </w:rPr>
        <w:t>/CSA</w:t>
      </w:r>
      <w:r w:rsidRPr="00E37C8E">
        <w:rPr>
          <w:sz w:val="24"/>
          <w:szCs w:val="24"/>
        </w:rPr>
        <w:t xml:space="preserve"> results align with reported grades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What inconsistencies need to be addressed?</w:t>
      </w:r>
    </w:p>
    <w:p w14:paraId="3217819C" w14:textId="77777777" w:rsidR="00E37C8E" w:rsidRDefault="00E37C8E">
      <w:pPr>
        <w:spacing w:before="40" w:after="80"/>
        <w:rPr>
          <w:sz w:val="24"/>
          <w:szCs w:val="24"/>
        </w:rPr>
      </w:pPr>
    </w:p>
    <w:p w14:paraId="465A4578" w14:textId="77777777" w:rsidR="00E37C8E" w:rsidRPr="00E37C8E" w:rsidRDefault="00E37C8E">
      <w:pPr>
        <w:spacing w:before="40" w:after="80"/>
        <w:rPr>
          <w:sz w:val="24"/>
          <w:szCs w:val="24"/>
        </w:rPr>
      </w:pPr>
    </w:p>
    <w:p w14:paraId="03E5B9D8" w14:textId="5DBD1DBD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lastRenderedPageBreak/>
        <w:t xml:space="preserve">4. Assessment </w:t>
      </w:r>
      <w:r w:rsidR="00E37C8E" w:rsidRPr="00E37C8E">
        <w:rPr>
          <w:color w:val="auto"/>
          <w:sz w:val="24"/>
          <w:szCs w:val="24"/>
        </w:rPr>
        <w:t xml:space="preserve">Practices for All Learners </w:t>
      </w:r>
      <w:r w:rsidRPr="00E37C8E">
        <w:rPr>
          <w:color w:val="auto"/>
          <w:sz w:val="24"/>
          <w:szCs w:val="24"/>
        </w:rPr>
        <w:t>(ESOL / SWD)</w:t>
      </w:r>
    </w:p>
    <w:p w14:paraId="1F1736C3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Accommodations are applied consistently</w:t>
      </w:r>
      <w:r w:rsidRPr="00E37C8E">
        <w:rPr>
          <w:sz w:val="24"/>
          <w:szCs w:val="24"/>
        </w:rPr>
        <w:br/>
        <w:t>☐ Assessments allow students to demonstrate learning</w:t>
      </w:r>
      <w:r w:rsidRPr="00E37C8E">
        <w:rPr>
          <w:sz w:val="24"/>
          <w:szCs w:val="24"/>
        </w:rPr>
        <w:br/>
        <w:t>☐ Teams review the impact of assessment practices on all learners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How do we know assessments provide access—not just participation?</w:t>
      </w:r>
    </w:p>
    <w:p w14:paraId="589C9F85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5. Assessment Frequency</w:t>
      </w:r>
    </w:p>
    <w:p w14:paraId="0BA09280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Assessments occur often enough to guide instruction</w:t>
      </w:r>
      <w:r w:rsidRPr="00E37C8E">
        <w:rPr>
          <w:sz w:val="24"/>
          <w:szCs w:val="24"/>
        </w:rPr>
        <w:br/>
        <w:t>☐ Assessment volume does not overwhelm learning</w:t>
      </w:r>
      <w:r w:rsidRPr="00E37C8E">
        <w:rPr>
          <w:sz w:val="24"/>
          <w:szCs w:val="24"/>
        </w:rPr>
        <w:br/>
        <w:t>☐ Results are used to inform next instructional steps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Are assessments driving instruction or simply adding tasks?</w:t>
      </w:r>
    </w:p>
    <w:p w14:paraId="2A210288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6. Classroom Walkthrough Alignment</w:t>
      </w:r>
    </w:p>
    <w:p w14:paraId="4F6AE090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Walkthroughs focus on assessment practices</w:t>
      </w:r>
      <w:r w:rsidRPr="00E37C8E">
        <w:rPr>
          <w:sz w:val="24"/>
          <w:szCs w:val="24"/>
        </w:rPr>
        <w:br/>
        <w:t>☐ Students can explain learning targets and success criteria</w:t>
      </w:r>
      <w:r w:rsidRPr="00E37C8E">
        <w:rPr>
          <w:sz w:val="24"/>
          <w:szCs w:val="24"/>
        </w:rPr>
        <w:br/>
        <w:t>☐ Evidence from walkthroughs connects to CCC conversations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How is walkthrough data shaping team discussions?</w:t>
      </w:r>
    </w:p>
    <w:p w14:paraId="5235E740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7. Feedback to Teachers</w:t>
      </w:r>
    </w:p>
    <w:p w14:paraId="78F57483" w14:textId="77777777" w:rsidR="0037205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Feedback is specific and evidence-based</w:t>
      </w:r>
      <w:r w:rsidRPr="00E37C8E">
        <w:rPr>
          <w:sz w:val="24"/>
          <w:szCs w:val="24"/>
        </w:rPr>
        <w:br/>
        <w:t>☐ Feedback connects to assessment quality and instruction</w:t>
      </w:r>
      <w:r w:rsidRPr="00E37C8E">
        <w:rPr>
          <w:sz w:val="24"/>
          <w:szCs w:val="24"/>
        </w:rPr>
        <w:br/>
        <w:t>☐ Follow-up look-fors are clear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How does my feedback influence teacher practice?</w:t>
      </w:r>
    </w:p>
    <w:p w14:paraId="63EE56F2" w14:textId="77777777" w:rsidR="00E37C8E" w:rsidRDefault="00E37C8E">
      <w:pPr>
        <w:spacing w:before="40" w:after="80"/>
        <w:rPr>
          <w:sz w:val="24"/>
          <w:szCs w:val="24"/>
        </w:rPr>
      </w:pPr>
    </w:p>
    <w:p w14:paraId="5E2DB2EB" w14:textId="77777777" w:rsidR="00E37C8E" w:rsidRPr="00E37C8E" w:rsidRDefault="00E37C8E">
      <w:pPr>
        <w:spacing w:before="40" w:after="80"/>
        <w:rPr>
          <w:sz w:val="24"/>
          <w:szCs w:val="24"/>
        </w:rPr>
      </w:pPr>
    </w:p>
    <w:p w14:paraId="7B83C5DD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lastRenderedPageBreak/>
        <w:t>8. Use of District Data Tools</w:t>
      </w:r>
    </w:p>
    <w:p w14:paraId="094AAE4B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Tools are used to inform instruction, not just compliance</w:t>
      </w:r>
      <w:r w:rsidRPr="00E37C8E">
        <w:rPr>
          <w:sz w:val="24"/>
          <w:szCs w:val="24"/>
        </w:rPr>
        <w:br/>
        <w:t>☐ Teachers can explain how data changed instruction</w:t>
      </w:r>
      <w:r w:rsidRPr="00E37C8E">
        <w:rPr>
          <w:sz w:val="24"/>
          <w:szCs w:val="24"/>
        </w:rPr>
        <w:br/>
        <w:t>☐ Data tools support CCC discussions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Which tools are underutilized or misunderstood?</w:t>
      </w:r>
    </w:p>
    <w:p w14:paraId="110D223B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9. Professional Learning &amp; Teacher Leadership</w:t>
      </w:r>
    </w:p>
    <w:p w14:paraId="3FE6E0A4" w14:textId="77777777" w:rsidR="0037205E" w:rsidRPr="00E37C8E" w:rsidRDefault="00F1699E">
      <w:pPr>
        <w:spacing w:before="40" w:after="80"/>
        <w:rPr>
          <w:sz w:val="24"/>
          <w:szCs w:val="24"/>
        </w:rPr>
      </w:pPr>
      <w:r w:rsidRPr="00E37C8E">
        <w:rPr>
          <w:sz w:val="24"/>
          <w:szCs w:val="24"/>
        </w:rPr>
        <w:t>☐ Teacher leaders support collaboration and learning</w:t>
      </w:r>
      <w:r w:rsidRPr="00E37C8E">
        <w:rPr>
          <w:sz w:val="24"/>
          <w:szCs w:val="24"/>
        </w:rPr>
        <w:br/>
        <w:t>☐ PL aligns to observed needs and data</w:t>
      </w:r>
      <w:r w:rsidRPr="00E37C8E">
        <w:rPr>
          <w:sz w:val="24"/>
          <w:szCs w:val="24"/>
        </w:rPr>
        <w:br/>
        <w:t>☐ The Guiding Coalition informs next steps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  <w:t>Reflection:</w:t>
      </w:r>
      <w:r w:rsidRPr="00E37C8E">
        <w:rPr>
          <w:sz w:val="24"/>
          <w:szCs w:val="24"/>
        </w:rPr>
        <w:br/>
        <w:t>How are teacher voices shaping schoolwide improvement?</w:t>
      </w:r>
    </w:p>
    <w:p w14:paraId="1744B7B1" w14:textId="77777777" w:rsidR="0037205E" w:rsidRPr="00E37C8E" w:rsidRDefault="00F1699E">
      <w:pPr>
        <w:pStyle w:val="Heading2"/>
        <w:spacing w:before="40" w:after="120"/>
        <w:rPr>
          <w:color w:val="auto"/>
          <w:sz w:val="24"/>
          <w:szCs w:val="24"/>
        </w:rPr>
      </w:pPr>
      <w:r w:rsidRPr="00E37C8E">
        <w:rPr>
          <w:color w:val="auto"/>
          <w:sz w:val="24"/>
          <w:szCs w:val="24"/>
        </w:rPr>
        <w:t>10. Leadership Ownership</w:t>
      </w:r>
    </w:p>
    <w:p w14:paraId="4247B90C" w14:textId="7DD5170C" w:rsidR="00E37C8E" w:rsidRPr="00E37C8E" w:rsidRDefault="00F1699E" w:rsidP="00E37C8E">
      <w:pPr>
        <w:spacing w:before="40" w:after="80"/>
        <w:rPr>
          <w:sz w:val="24"/>
          <w:szCs w:val="24"/>
        </w:rPr>
      </w:pPr>
      <w:r w:rsidRPr="00E37C8E">
        <w:rPr>
          <w:rFonts w:ascii="Segoe UI Symbol" w:hAnsi="Segoe UI Symbol" w:cs="Segoe UI Symbol"/>
          <w:sz w:val="24"/>
          <w:szCs w:val="24"/>
        </w:rPr>
        <w:t>☐</w:t>
      </w:r>
      <w:r w:rsidRPr="00E37C8E">
        <w:rPr>
          <w:sz w:val="24"/>
          <w:szCs w:val="24"/>
        </w:rPr>
        <w:t xml:space="preserve"> Monitoring is intentional and ongoing</w:t>
      </w:r>
      <w:r w:rsidRPr="00E37C8E">
        <w:rPr>
          <w:sz w:val="24"/>
          <w:szCs w:val="24"/>
        </w:rPr>
        <w:br/>
      </w:r>
      <w:r w:rsidRPr="00E37C8E">
        <w:rPr>
          <w:rFonts w:ascii="Segoe UI Symbol" w:hAnsi="Segoe UI Symbol" w:cs="Segoe UI Symbol"/>
          <w:sz w:val="24"/>
          <w:szCs w:val="24"/>
        </w:rPr>
        <w:t>☐</w:t>
      </w:r>
      <w:r w:rsidRPr="00E37C8E">
        <w:rPr>
          <w:sz w:val="24"/>
          <w:szCs w:val="24"/>
        </w:rPr>
        <w:t xml:space="preserve"> Leadership actions align with CCC outcomes</w:t>
      </w:r>
      <w:r w:rsidRPr="00E37C8E">
        <w:rPr>
          <w:sz w:val="24"/>
          <w:szCs w:val="24"/>
        </w:rPr>
        <w:br/>
      </w:r>
      <w:r w:rsidRPr="00E37C8E">
        <w:rPr>
          <w:rFonts w:ascii="Segoe UI Symbol" w:hAnsi="Segoe UI Symbol" w:cs="Segoe UI Symbol"/>
          <w:sz w:val="24"/>
          <w:szCs w:val="24"/>
        </w:rPr>
        <w:t>☐</w:t>
      </w:r>
      <w:r w:rsidRPr="00E37C8E">
        <w:rPr>
          <w:sz w:val="24"/>
          <w:szCs w:val="24"/>
        </w:rPr>
        <w:t xml:space="preserve"> Expectations are clear and reinforced</w:t>
      </w:r>
      <w:r w:rsidRPr="00E37C8E">
        <w:rPr>
          <w:sz w:val="24"/>
          <w:szCs w:val="24"/>
        </w:rPr>
        <w:br/>
      </w:r>
      <w:r w:rsidRPr="00E37C8E">
        <w:rPr>
          <w:sz w:val="24"/>
          <w:szCs w:val="24"/>
        </w:rPr>
        <w:br/>
      </w:r>
      <w:r w:rsidR="00E37C8E" w:rsidRPr="00E37C8E">
        <w:rPr>
          <w:sz w:val="24"/>
          <w:szCs w:val="24"/>
        </w:rPr>
        <w:t>Reflection:</w:t>
      </w:r>
      <w:r w:rsidR="00E37C8E" w:rsidRPr="00E37C8E">
        <w:rPr>
          <w:sz w:val="24"/>
          <w:szCs w:val="24"/>
        </w:rPr>
        <w:br/>
        <w:t>One leadership move I will commit to this month:</w:t>
      </w:r>
      <w:r w:rsidR="00E37C8E">
        <w:rPr>
          <w:sz w:val="18"/>
        </w:rPr>
        <w:br/>
      </w:r>
    </w:p>
    <w:p w14:paraId="5492E098" w14:textId="03FD5309" w:rsidR="0037205E" w:rsidRPr="00E37C8E" w:rsidRDefault="0037205E">
      <w:pPr>
        <w:spacing w:before="40" w:after="80"/>
        <w:rPr>
          <w:sz w:val="24"/>
          <w:szCs w:val="24"/>
        </w:rPr>
      </w:pPr>
    </w:p>
    <w:sectPr w:rsidR="0037205E" w:rsidRPr="00E37C8E" w:rsidSect="00E37C8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AD59" w14:textId="77777777" w:rsidR="00C526AE" w:rsidRDefault="00C526AE" w:rsidP="00E37C8E">
      <w:pPr>
        <w:spacing w:after="0" w:line="240" w:lineRule="auto"/>
      </w:pPr>
      <w:r>
        <w:separator/>
      </w:r>
    </w:p>
  </w:endnote>
  <w:endnote w:type="continuationSeparator" w:id="0">
    <w:p w14:paraId="7803D3F5" w14:textId="77777777" w:rsidR="00C526AE" w:rsidRDefault="00C526AE" w:rsidP="00E3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929C" w14:textId="77777777" w:rsidR="00C526AE" w:rsidRDefault="00C526AE" w:rsidP="00E37C8E">
      <w:pPr>
        <w:spacing w:after="0" w:line="240" w:lineRule="auto"/>
      </w:pPr>
      <w:r>
        <w:separator/>
      </w:r>
    </w:p>
  </w:footnote>
  <w:footnote w:type="continuationSeparator" w:id="0">
    <w:p w14:paraId="3D4BE3D8" w14:textId="77777777" w:rsidR="00C526AE" w:rsidRDefault="00C526AE" w:rsidP="00E3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20A" w14:textId="666F3490" w:rsidR="00E37C8E" w:rsidRDefault="00E37C8E">
    <w:pPr>
      <w:pStyle w:val="Header"/>
    </w:pPr>
    <w:r>
      <w:rPr>
        <w:noProof/>
      </w:rPr>
      <w:drawing>
        <wp:inline distT="0" distB="0" distL="0" distR="0" wp14:anchorId="4E104C4D" wp14:editId="5EE40F47">
          <wp:extent cx="5943600" cy="665287"/>
          <wp:effectExtent l="0" t="0" r="0" b="190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5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0CB1D" w14:textId="77777777" w:rsidR="00E37C8E" w:rsidRDefault="00E37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005890">
    <w:abstractNumId w:val="8"/>
  </w:num>
  <w:num w:numId="2" w16cid:durableId="689181433">
    <w:abstractNumId w:val="6"/>
  </w:num>
  <w:num w:numId="3" w16cid:durableId="2033022807">
    <w:abstractNumId w:val="5"/>
  </w:num>
  <w:num w:numId="4" w16cid:durableId="1170801632">
    <w:abstractNumId w:val="4"/>
  </w:num>
  <w:num w:numId="5" w16cid:durableId="1906600340">
    <w:abstractNumId w:val="7"/>
  </w:num>
  <w:num w:numId="6" w16cid:durableId="545722290">
    <w:abstractNumId w:val="3"/>
  </w:num>
  <w:num w:numId="7" w16cid:durableId="22050374">
    <w:abstractNumId w:val="2"/>
  </w:num>
  <w:num w:numId="8" w16cid:durableId="427430301">
    <w:abstractNumId w:val="1"/>
  </w:num>
  <w:num w:numId="9" w16cid:durableId="8485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A0D"/>
    <w:rsid w:val="0029639D"/>
    <w:rsid w:val="00326F90"/>
    <w:rsid w:val="0037205E"/>
    <w:rsid w:val="003F13F0"/>
    <w:rsid w:val="00414D21"/>
    <w:rsid w:val="00427642"/>
    <w:rsid w:val="004D7112"/>
    <w:rsid w:val="007B5A70"/>
    <w:rsid w:val="008F7F1E"/>
    <w:rsid w:val="00AA1D8D"/>
    <w:rsid w:val="00B47730"/>
    <w:rsid w:val="00C526AE"/>
    <w:rsid w:val="00CB0664"/>
    <w:rsid w:val="00E37C8E"/>
    <w:rsid w:val="00EB3B21"/>
    <w:rsid w:val="00F169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AEA32"/>
  <w14:defaultImageDpi w14:val="300"/>
  <w15:docId w15:val="{F93E187D-00D9-46D2-BF6F-693C0B0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fbd5-57f5-4ce9-bc6a-b24f1061171d" xsi:nil="true"/>
    <lcf76f155ced4ddcb4097134ff3c332f xmlns="eb02f38f-cd29-44bf-a481-f5b89a8996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5428D9712AC46B5B387FFBECA30EC" ma:contentTypeVersion="16" ma:contentTypeDescription="Create a new document." ma:contentTypeScope="" ma:versionID="8d6162bdf945197f3f1dae868eaad1b4">
  <xsd:schema xmlns:xsd="http://www.w3.org/2001/XMLSchema" xmlns:xs="http://www.w3.org/2001/XMLSchema" xmlns:p="http://schemas.microsoft.com/office/2006/metadata/properties" xmlns:ns2="eb02f38f-cd29-44bf-a481-f5b89a8996f3" xmlns:ns3="7fe2fbd5-57f5-4ce9-bc6a-b24f1061171d" targetNamespace="http://schemas.microsoft.com/office/2006/metadata/properties" ma:root="true" ma:fieldsID="e58f2667b586ce60fdb82eff4edb49de" ns2:_="" ns3:_="">
    <xsd:import namespace="eb02f38f-cd29-44bf-a481-f5b89a8996f3"/>
    <xsd:import namespace="7fe2fbd5-57f5-4ce9-bc6a-b24f10611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f38f-cd29-44bf-a481-f5b89a899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fbd5-57f5-4ce9-bc6a-b24f10611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9c191-dd50-43d2-ae9f-8248cd77d926}" ma:internalName="TaxCatchAll" ma:showField="CatchAllData" ma:web="7fe2fbd5-57f5-4ce9-bc6a-b24f10611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B5175-6E78-4E78-9934-26B9D35DD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FBCE3-55F7-4751-8350-AEFC5F1224F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b02f38f-cd29-44bf-a481-f5b89a8996f3"/>
    <ds:schemaRef ds:uri="7fe2fbd5-57f5-4ce9-bc6a-b24f1061171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9C2542-9239-4A36-B10A-BEE63D21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2f38f-cd29-44bf-a481-f5b89a8996f3"/>
    <ds:schemaRef ds:uri="7fe2fbd5-57f5-4ce9-bc6a-b24f10611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Stump</cp:lastModifiedBy>
  <cp:revision>2</cp:revision>
  <dcterms:created xsi:type="dcterms:W3CDTF">2026-04-29T15:23:00Z</dcterms:created>
  <dcterms:modified xsi:type="dcterms:W3CDTF">2026-04-29T15:23:00Z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0x01010032A5428D9712AC46B5B387FFBECA30EC</vt:lpwstr>
  </property>
</Properties>
</file>