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i w:val="1"/>
          <w:iCs w:val="1"/>
        </w:rPr>
      </w:pPr>
      <w:bookmarkStart w:colFirst="0" w:colLast="0" w:name="_1febtshfbzr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📋 1. The "Solution Snapshot" (Capture 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SDP Conference: The Data Adoption Clinic — Solutions Snapshot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1: Taming Data Grief</w:t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Peer Strategy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Peer Strategy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Top Tip for Inclusions: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How do we ensure "quiet voices" are heard when data feels heavy?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2: Feedback &amp; Intentional Design</w:t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Scheduling Hack:</w:t>
            </w:r>
            <w:r w:rsidDel="00000000" w:rsidR="00000000" w:rsidRPr="00000000">
              <w:rPr>
                <w:rtl w:val="0"/>
              </w:rPr>
              <w:t xml:space="preserve"> Best times for user feedback (e.g., 10-minute "Micro-Pilots").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Design Strategy:</w:t>
            </w:r>
            <w:r w:rsidDel="00000000" w:rsidR="00000000" w:rsidRPr="00000000">
              <w:rPr>
                <w:rtl w:val="0"/>
              </w:rPr>
              <w:t xml:space="preserve"> One "must-have" feature that reduces users cognitive load.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Data Requests: </w:t>
            </w:r>
            <w:r w:rsidDel="00000000" w:rsidR="00000000" w:rsidRPr="00000000">
              <w:rPr>
                <w:rtl w:val="0"/>
              </w:rPr>
              <w:t xml:space="preserve">How do you collect and prioritize user feedback and requests outside of formal pathways?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3: Trusting the Builder</w:t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Relationship Builder:</w:t>
            </w:r>
            <w:r w:rsidDel="00000000" w:rsidR="00000000" w:rsidRPr="00000000">
              <w:rPr>
                <w:rtl w:val="0"/>
              </w:rPr>
              <w:t xml:space="preserve"> One non-data activity to do with users to build "Social Capital."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Communication Win:</w:t>
            </w:r>
            <w:r w:rsidDel="00000000" w:rsidR="00000000" w:rsidRPr="00000000">
              <w:rPr>
                <w:rtl w:val="0"/>
              </w:rPr>
              <w:t xml:space="preserve"> How to frame "bad news" as a "growth opportunity."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Turn Around Time: What to prioritize for addressing immediately. How do you plan for and communicate rollouts, updates, and other important aspects of your work?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kfwkpj80cs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🤝 2. New Connections: The "Data Ally" Card (</w:t>
      </w:r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See Canva</w:t>
        </w:r>
      </w:hyperlink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)</w:t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Let’s Keep the Conversation Going!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Name/Organization:</w:t>
            </w:r>
            <w:r w:rsidDel="00000000" w:rsidR="00000000" w:rsidRPr="00000000">
              <w:rPr>
                <w:rtl w:val="0"/>
              </w:rPr>
              <w:t xml:space="preserve"> ___________________________</w:t>
              <w:br w:type="textWrapping"/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My "Data Superpower":</w:t>
            </w:r>
            <w:r w:rsidDel="00000000" w:rsidR="00000000" w:rsidRPr="00000000">
              <w:rPr>
                <w:rtl w:val="0"/>
              </w:rPr>
              <w:t xml:space="preserve"> (e.g., Tableau Design, Change Management, State Reporting)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Challenge I’m Currently Solving:</w:t>
            </w:r>
            <w:r w:rsidDel="00000000" w:rsidR="00000000" w:rsidRPr="00000000">
              <w:rPr>
                <w:rtl w:val="0"/>
              </w:rPr>
              <w:t xml:space="preserve"> 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SDP "Coffee &amp; Collaboration" Invite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Check one:</w:t>
            </w:r>
            <w:r w:rsidDel="00000000" w:rsidR="00000000" w:rsidRPr="00000000">
              <w:rPr>
                <w:rtl w:val="0"/>
              </w:rPr>
              <w:t xml:space="preserve"> * 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2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[ ] Let's jump on a 15-minute Zoom to talk about Table 1 strategies.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2"/>
              </w:numPr>
              <w:spacing w:after="0" w:afterAutospacing="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[ ] Send me your "Data Grief" protocol; I'll send you mine!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2"/>
              </w:numPr>
              <w:spacing w:after="240" w:before="0" w:beforeAutospacing="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[ ] I’d love to see a demo of your district's Tableau dashboard.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i w:val="1"/>
          <w:iCs w:val="1"/>
        </w:rPr>
      </w:pPr>
      <w:bookmarkStart w:colFirst="0" w:colLast="0" w:name="_lddojvwd4pn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🛠️ 3. An Actionable Protocol: </w:t>
      </w: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The "Data Grief"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3-Step Data Grief Protocol: From Vulnerability to Action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 The Acknowledge &amp; Validate Phase (10 Minutes)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Allow staff to voice frustrations without "fixing" them yet.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"On a scale of 1–5, how overwhelming does this data feel today? Why?"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 The Root Cause Isolation (20 Minutes)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Shift from the </w:t>
      </w:r>
      <w:r w:rsidDel="00000000" w:rsidR="00000000" w:rsidRPr="00000000">
        <w:rPr>
          <w:i w:val="1"/>
          <w:iCs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 to the </w:t>
      </w:r>
      <w:r w:rsidDel="00000000" w:rsidR="00000000" w:rsidRPr="00000000">
        <w:rPr>
          <w:i w:val="1"/>
          <w:iCs w:val="1"/>
          <w:rtl w:val="0"/>
        </w:rPr>
        <w:t xml:space="preserve">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"Is this a result of student effort, instructional timing, or a resource gap?" (Moves the blame away from the teacher).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 The Collaborative Pivot (15 Minutes)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Identify ONE small, high-impact change for the next 10 days.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A written "Action Commitment" that feels manageable and supported.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nva.link/c5r39zo3fzvid9n" TargetMode="External"/><Relationship Id="rId7" Type="http://schemas.openxmlformats.org/officeDocument/2006/relationships/hyperlink" Target="https://canva.link/obs3dwc0c0lpz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